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B6C" w:rsidRPr="003249D9" w:rsidRDefault="00EC4B6C" w:rsidP="00BF6ACB">
      <w:pPr>
        <w:pStyle w:val="TASPresDate"/>
        <w:rPr>
          <w:rFonts w:asciiTheme="minorHAnsi" w:hAnsiTheme="minorHAnsi"/>
          <w:b/>
          <w:bCs/>
          <w:color w:val="808080" w:themeColor="accent1"/>
        </w:rPr>
      </w:pPr>
      <w:bookmarkStart w:id="0" w:name="_GoBack"/>
      <w:bookmarkEnd w:id="0"/>
      <w:r w:rsidRPr="003249D9">
        <w:rPr>
          <w:rFonts w:asciiTheme="minorHAnsi" w:hAnsiTheme="minorHAnsi"/>
          <w:b/>
          <w:color w:val="808080" w:themeColor="accent1"/>
        </w:rPr>
        <w:t xml:space="preserve">A magyarországi vállalati hitel </w:t>
      </w:r>
      <w:proofErr w:type="spellStart"/>
      <w:r w:rsidRPr="003249D9">
        <w:rPr>
          <w:rFonts w:asciiTheme="minorHAnsi" w:hAnsiTheme="minorHAnsi"/>
          <w:b/>
          <w:color w:val="808080" w:themeColor="accent1"/>
        </w:rPr>
        <w:t>restrukturálási</w:t>
      </w:r>
      <w:proofErr w:type="spellEnd"/>
      <w:r w:rsidRPr="003249D9">
        <w:rPr>
          <w:rFonts w:asciiTheme="minorHAnsi" w:hAnsiTheme="minorHAnsi"/>
          <w:b/>
          <w:color w:val="808080" w:themeColor="accent1"/>
        </w:rPr>
        <w:t xml:space="preserve"> és felszámolási környezet elemzése</w:t>
      </w:r>
    </w:p>
    <w:p w:rsidR="00BF6ACB" w:rsidRPr="003249D9" w:rsidRDefault="002D610B" w:rsidP="00BF6ACB">
      <w:pPr>
        <w:pStyle w:val="TASPresDate"/>
        <w:rPr>
          <w:rFonts w:asciiTheme="minorHAnsi" w:hAnsiTheme="minorHAnsi"/>
        </w:rPr>
      </w:pPr>
      <w:sdt>
        <w:sdtPr>
          <w:rPr>
            <w:rFonts w:asciiTheme="minorHAnsi" w:hAnsiTheme="minorHAnsi"/>
          </w:rPr>
          <w:alias w:val="CAReportDate"/>
          <w:tag w:val="CAReportDate"/>
          <w:id w:val="1300536"/>
        </w:sdtPr>
        <w:sdtContent>
          <w:r w:rsidR="003B56B3" w:rsidRPr="003249D9">
            <w:rPr>
              <w:rFonts w:asciiTheme="minorHAnsi" w:hAnsiTheme="minorHAnsi"/>
            </w:rPr>
            <w:t xml:space="preserve">2014. </w:t>
          </w:r>
          <w:r w:rsidR="00392068">
            <w:rPr>
              <w:rFonts w:asciiTheme="minorHAnsi" w:hAnsiTheme="minorHAnsi"/>
            </w:rPr>
            <w:t>novemb</w:t>
          </w:r>
          <w:r w:rsidR="003B56B3" w:rsidRPr="003249D9">
            <w:rPr>
              <w:rFonts w:asciiTheme="minorHAnsi" w:hAnsiTheme="minorHAnsi"/>
            </w:rPr>
            <w:t>er 1</w:t>
          </w:r>
          <w:r w:rsidR="00392068">
            <w:rPr>
              <w:rFonts w:asciiTheme="minorHAnsi" w:hAnsiTheme="minorHAnsi"/>
            </w:rPr>
            <w:t>8</w:t>
          </w:r>
          <w:r w:rsidR="003B56B3" w:rsidRPr="003249D9">
            <w:rPr>
              <w:rFonts w:asciiTheme="minorHAnsi" w:hAnsiTheme="minorHAnsi"/>
            </w:rPr>
            <w:t>.</w:t>
          </w:r>
        </w:sdtContent>
      </w:sdt>
    </w:p>
    <w:sdt>
      <w:sdtPr>
        <w:rPr>
          <w:rFonts w:asciiTheme="minorHAnsi" w:hAnsiTheme="minorHAnsi"/>
        </w:rPr>
        <w:alias w:val="CADraft"/>
        <w:tag w:val="CADraft"/>
        <w:id w:val="1300538"/>
      </w:sdtPr>
      <w:sdtContent>
        <w:p w:rsidR="00BF6ACB" w:rsidRPr="003249D9" w:rsidRDefault="00AB7CFF" w:rsidP="002D610B">
          <w:pPr>
            <w:pStyle w:val="TASCoverdraft"/>
            <w:ind w:left="1418" w:hanging="1418"/>
            <w:rPr>
              <w:rFonts w:asciiTheme="minorHAnsi" w:hAnsiTheme="minorHAnsi"/>
            </w:rPr>
          </w:pPr>
          <w:r w:rsidRPr="003249D9">
            <w:rPr>
              <w:rFonts w:asciiTheme="minorHAnsi" w:hAnsiTheme="minorHAnsi"/>
            </w:rPr>
            <w:t>Tervezet</w:t>
          </w:r>
          <w:r w:rsidR="002D610B">
            <w:rPr>
              <w:rFonts w:asciiTheme="minorHAnsi" w:hAnsiTheme="minorHAnsi"/>
            </w:rPr>
            <w:t xml:space="preserve"> 2. – az MNB-től kapott visszajelzések alapján </w:t>
          </w:r>
          <w:proofErr w:type="spellStart"/>
          <w:r w:rsidR="002D610B">
            <w:rPr>
              <w:rFonts w:asciiTheme="minorHAnsi" w:hAnsiTheme="minorHAnsi"/>
            </w:rPr>
            <w:t>módositott</w:t>
          </w:r>
          <w:proofErr w:type="spellEnd"/>
          <w:r w:rsidR="002D610B">
            <w:rPr>
              <w:rFonts w:asciiTheme="minorHAnsi" w:hAnsiTheme="minorHAnsi"/>
            </w:rPr>
            <w:t xml:space="preserve"> változat</w:t>
          </w:r>
        </w:p>
      </w:sdtContent>
    </w:sdt>
    <w:tbl>
      <w:tblPr>
        <w:tblW w:w="5706" w:type="dxa"/>
        <w:tblLayout w:type="fixed"/>
        <w:tblCellMar>
          <w:left w:w="284" w:type="dxa"/>
          <w:right w:w="0" w:type="dxa"/>
        </w:tblCellMar>
        <w:tblLook w:val="01E0" w:firstRow="1" w:lastRow="1" w:firstColumn="1" w:lastColumn="1" w:noHBand="0" w:noVBand="0"/>
      </w:tblPr>
      <w:tblGrid>
        <w:gridCol w:w="595"/>
        <w:gridCol w:w="2300"/>
        <w:gridCol w:w="489"/>
        <w:gridCol w:w="2322"/>
      </w:tblGrid>
      <w:tr w:rsidR="00BF6ACB" w:rsidRPr="003249D9" w:rsidTr="00BF6ACB">
        <w:trPr>
          <w:trHeight w:val="530"/>
        </w:trPr>
        <w:tc>
          <w:tcPr>
            <w:tcW w:w="2895" w:type="dxa"/>
            <w:gridSpan w:val="2"/>
            <w:vAlign w:val="center"/>
          </w:tcPr>
          <w:p w:rsidR="00BF6ACB" w:rsidRPr="003249D9" w:rsidRDefault="00BF6ACB" w:rsidP="00BF6ACB">
            <w:pPr>
              <w:pStyle w:val="TASName"/>
              <w:rPr>
                <w:rFonts w:asciiTheme="minorHAnsi" w:hAnsiTheme="minorHAnsi"/>
              </w:rPr>
            </w:pPr>
          </w:p>
          <w:p w:rsidR="00BF6ACB" w:rsidRPr="003249D9" w:rsidRDefault="00BF6ACB" w:rsidP="00BF6ACB">
            <w:pPr>
              <w:pStyle w:val="TASName"/>
              <w:rPr>
                <w:rFonts w:asciiTheme="minorHAnsi" w:hAnsiTheme="minorHAnsi"/>
              </w:rPr>
            </w:pPr>
          </w:p>
          <w:p w:rsidR="00BF6ACB" w:rsidRPr="003249D9" w:rsidRDefault="00BF6ACB" w:rsidP="00BF6ACB">
            <w:pPr>
              <w:pStyle w:val="TASName"/>
              <w:rPr>
                <w:rFonts w:asciiTheme="minorHAnsi" w:hAnsiTheme="minorHAnsi"/>
              </w:rPr>
            </w:pPr>
          </w:p>
          <w:p w:rsidR="00BF6ACB" w:rsidRPr="003249D9" w:rsidRDefault="00BF6ACB" w:rsidP="00BF6ACB">
            <w:pPr>
              <w:pStyle w:val="TASName"/>
              <w:rPr>
                <w:rFonts w:asciiTheme="minorHAnsi" w:hAnsiTheme="minorHAnsi"/>
              </w:rPr>
            </w:pPr>
          </w:p>
          <w:p w:rsidR="00BF6ACB" w:rsidRPr="003249D9" w:rsidRDefault="00AB7CFF" w:rsidP="00BF6ACB">
            <w:pPr>
              <w:pStyle w:val="TASName"/>
              <w:rPr>
                <w:rFonts w:asciiTheme="minorHAnsi" w:hAnsiTheme="minorHAnsi"/>
              </w:rPr>
            </w:pPr>
            <w:r w:rsidRPr="003249D9">
              <w:rPr>
                <w:rFonts w:asciiTheme="minorHAnsi" w:hAnsiTheme="minorHAnsi"/>
              </w:rPr>
              <w:t xml:space="preserve">Elena </w:t>
            </w:r>
            <w:proofErr w:type="spellStart"/>
            <w:r w:rsidRPr="003249D9">
              <w:rPr>
                <w:rFonts w:asciiTheme="minorHAnsi" w:hAnsiTheme="minorHAnsi"/>
              </w:rPr>
              <w:t>Petrovska</w:t>
            </w:r>
            <w:proofErr w:type="spellEnd"/>
          </w:p>
          <w:p w:rsidR="00BF6ACB" w:rsidRPr="003249D9" w:rsidRDefault="00AB7CFF" w:rsidP="00BF6ACB">
            <w:pPr>
              <w:pStyle w:val="TASPosition"/>
              <w:rPr>
                <w:rFonts w:asciiTheme="minorHAnsi" w:hAnsiTheme="minorHAnsi"/>
              </w:rPr>
            </w:pPr>
            <w:r w:rsidRPr="003249D9">
              <w:rPr>
                <w:rFonts w:asciiTheme="minorHAnsi" w:hAnsiTheme="minorHAnsi"/>
              </w:rPr>
              <w:t>A magyarországi fiók vezetője</w:t>
            </w:r>
          </w:p>
        </w:tc>
        <w:tc>
          <w:tcPr>
            <w:tcW w:w="2811" w:type="dxa"/>
            <w:gridSpan w:val="2"/>
            <w:vAlign w:val="center"/>
          </w:tcPr>
          <w:p w:rsidR="00BF6ACB" w:rsidRPr="003249D9" w:rsidRDefault="00BF6ACB" w:rsidP="00BF6ACB">
            <w:pPr>
              <w:pStyle w:val="TASName"/>
              <w:rPr>
                <w:rFonts w:asciiTheme="minorHAnsi" w:hAnsiTheme="minorHAnsi"/>
              </w:rPr>
            </w:pPr>
          </w:p>
          <w:p w:rsidR="00BF6ACB" w:rsidRPr="003249D9" w:rsidRDefault="00BF6ACB" w:rsidP="00BF6ACB">
            <w:pPr>
              <w:pStyle w:val="TASName"/>
              <w:rPr>
                <w:rFonts w:asciiTheme="minorHAnsi" w:hAnsiTheme="minorHAnsi"/>
              </w:rPr>
            </w:pPr>
          </w:p>
          <w:p w:rsidR="00BF6ACB" w:rsidRPr="003249D9" w:rsidRDefault="00BF6ACB" w:rsidP="00BF6ACB">
            <w:pPr>
              <w:pStyle w:val="TASName"/>
              <w:rPr>
                <w:rFonts w:asciiTheme="minorHAnsi" w:hAnsiTheme="minorHAnsi"/>
              </w:rPr>
            </w:pPr>
          </w:p>
          <w:p w:rsidR="00BF6ACB" w:rsidRPr="003249D9" w:rsidRDefault="00BF6ACB" w:rsidP="00BF6ACB">
            <w:pPr>
              <w:pStyle w:val="TASName"/>
              <w:rPr>
                <w:rFonts w:asciiTheme="minorHAnsi" w:hAnsiTheme="minorHAnsi"/>
              </w:rPr>
            </w:pPr>
          </w:p>
          <w:p w:rsidR="00BF6ACB" w:rsidRPr="003249D9" w:rsidRDefault="00AB7CFF" w:rsidP="00BF6ACB">
            <w:pPr>
              <w:pStyle w:val="TASName"/>
              <w:rPr>
                <w:rFonts w:asciiTheme="minorHAnsi" w:hAnsiTheme="minorHAnsi"/>
              </w:rPr>
            </w:pPr>
            <w:proofErr w:type="spellStart"/>
            <w:r w:rsidRPr="003249D9">
              <w:rPr>
                <w:rFonts w:asciiTheme="minorHAnsi" w:hAnsiTheme="minorHAnsi"/>
              </w:rPr>
              <w:t>Catherine</w:t>
            </w:r>
            <w:proofErr w:type="spellEnd"/>
            <w:r w:rsidRPr="003249D9">
              <w:rPr>
                <w:rFonts w:asciiTheme="minorHAnsi" w:hAnsiTheme="minorHAnsi"/>
              </w:rPr>
              <w:t xml:space="preserve"> </w:t>
            </w:r>
            <w:proofErr w:type="spellStart"/>
            <w:r w:rsidRPr="003249D9">
              <w:rPr>
                <w:rFonts w:asciiTheme="minorHAnsi" w:hAnsiTheme="minorHAnsi"/>
              </w:rPr>
              <w:t>Bridge</w:t>
            </w:r>
            <w:proofErr w:type="spellEnd"/>
          </w:p>
          <w:p w:rsidR="00BF6ACB" w:rsidRPr="003249D9" w:rsidRDefault="00AB7CFF" w:rsidP="00BF6ACB">
            <w:pPr>
              <w:pStyle w:val="TASPosition"/>
              <w:rPr>
                <w:rFonts w:asciiTheme="minorHAnsi" w:hAnsiTheme="minorHAnsi"/>
              </w:rPr>
            </w:pPr>
            <w:r w:rsidRPr="003249D9">
              <w:rPr>
                <w:rFonts w:asciiTheme="minorHAnsi" w:hAnsiTheme="minorHAnsi"/>
              </w:rPr>
              <w:t>főtanácsadó</w:t>
            </w:r>
          </w:p>
        </w:tc>
      </w:tr>
      <w:tr w:rsidR="00BF6ACB" w:rsidRPr="003249D9" w:rsidTr="00BF6ACB">
        <w:trPr>
          <w:trHeight w:val="79"/>
        </w:trPr>
        <w:tc>
          <w:tcPr>
            <w:tcW w:w="2895" w:type="dxa"/>
            <w:gridSpan w:val="2"/>
            <w:vAlign w:val="center"/>
          </w:tcPr>
          <w:p w:rsidR="00BF6ACB" w:rsidRPr="003249D9" w:rsidRDefault="00AB7CFF" w:rsidP="00BF6ACB">
            <w:pPr>
              <w:pStyle w:val="TASContactinfo"/>
              <w:rPr>
                <w:rFonts w:asciiTheme="minorHAnsi" w:hAnsiTheme="minorHAnsi"/>
              </w:rPr>
            </w:pPr>
            <w:r w:rsidRPr="003249D9">
              <w:rPr>
                <w:rFonts w:asciiTheme="minorHAnsi" w:hAnsiTheme="minorHAnsi"/>
              </w:rPr>
              <w:t>Európai Újjáépítési és Fejlesztési Bank</w:t>
            </w:r>
          </w:p>
        </w:tc>
        <w:tc>
          <w:tcPr>
            <w:tcW w:w="2811" w:type="dxa"/>
            <w:gridSpan w:val="2"/>
            <w:vAlign w:val="center"/>
          </w:tcPr>
          <w:p w:rsidR="00BF6ACB" w:rsidRPr="003249D9" w:rsidRDefault="00AB7CFF" w:rsidP="00BF6ACB">
            <w:pPr>
              <w:pStyle w:val="TASContactinfo"/>
              <w:rPr>
                <w:rFonts w:asciiTheme="minorHAnsi" w:hAnsiTheme="minorHAnsi"/>
              </w:rPr>
            </w:pPr>
            <w:r w:rsidRPr="003249D9">
              <w:rPr>
                <w:rFonts w:asciiTheme="minorHAnsi" w:hAnsiTheme="minorHAnsi"/>
              </w:rPr>
              <w:t>Európai Újjáépítési és Fejlesztési Bank</w:t>
            </w:r>
          </w:p>
        </w:tc>
      </w:tr>
      <w:tr w:rsidR="00BF6ACB" w:rsidRPr="003249D9" w:rsidTr="00BF6ACB">
        <w:trPr>
          <w:trHeight w:val="79"/>
        </w:trPr>
        <w:tc>
          <w:tcPr>
            <w:tcW w:w="595" w:type="dxa"/>
            <w:vAlign w:val="center"/>
          </w:tcPr>
          <w:p w:rsidR="00BF6ACB" w:rsidRPr="003249D9" w:rsidRDefault="00AB7CFF" w:rsidP="00BF6ACB">
            <w:pPr>
              <w:pStyle w:val="TASName"/>
              <w:rPr>
                <w:rFonts w:asciiTheme="minorHAnsi" w:hAnsiTheme="minorHAnsi"/>
              </w:rPr>
            </w:pPr>
            <w:r w:rsidRPr="003249D9">
              <w:rPr>
                <w:rFonts w:asciiTheme="minorHAnsi" w:hAnsiTheme="minorHAnsi"/>
              </w:rPr>
              <w:t>T</w:t>
            </w:r>
          </w:p>
        </w:tc>
        <w:tc>
          <w:tcPr>
            <w:tcW w:w="2300" w:type="dxa"/>
          </w:tcPr>
          <w:p w:rsidR="00BF6ACB" w:rsidRPr="003249D9" w:rsidRDefault="00AB7CFF" w:rsidP="00BF6ACB">
            <w:pPr>
              <w:pStyle w:val="TASContactinfo"/>
              <w:rPr>
                <w:rFonts w:asciiTheme="minorHAnsi" w:hAnsiTheme="minorHAnsi"/>
              </w:rPr>
            </w:pPr>
            <w:r w:rsidRPr="003249D9">
              <w:rPr>
                <w:rFonts w:asciiTheme="minorHAnsi" w:hAnsiTheme="minorHAnsi"/>
              </w:rPr>
              <w:t>+36 1 486 3020</w:t>
            </w:r>
          </w:p>
        </w:tc>
        <w:tc>
          <w:tcPr>
            <w:tcW w:w="489" w:type="dxa"/>
            <w:vAlign w:val="center"/>
          </w:tcPr>
          <w:p w:rsidR="00BF6ACB" w:rsidRPr="003249D9" w:rsidRDefault="00AB7CFF" w:rsidP="00BF6ACB">
            <w:pPr>
              <w:pStyle w:val="TASName"/>
              <w:rPr>
                <w:rFonts w:asciiTheme="minorHAnsi" w:hAnsiTheme="minorHAnsi"/>
              </w:rPr>
            </w:pPr>
            <w:r w:rsidRPr="003249D9">
              <w:rPr>
                <w:rFonts w:asciiTheme="minorHAnsi" w:hAnsiTheme="minorHAnsi"/>
              </w:rPr>
              <w:t>T</w:t>
            </w:r>
          </w:p>
        </w:tc>
        <w:tc>
          <w:tcPr>
            <w:tcW w:w="2322" w:type="dxa"/>
          </w:tcPr>
          <w:p w:rsidR="00BF6ACB" w:rsidRPr="003249D9" w:rsidRDefault="00AB7CFF" w:rsidP="00BF6ACB">
            <w:pPr>
              <w:pStyle w:val="TASContactinfo"/>
              <w:rPr>
                <w:rFonts w:asciiTheme="minorHAnsi" w:hAnsiTheme="minorHAnsi"/>
              </w:rPr>
            </w:pPr>
            <w:r w:rsidRPr="003249D9">
              <w:rPr>
                <w:rFonts w:asciiTheme="minorHAnsi" w:hAnsiTheme="minorHAnsi"/>
              </w:rPr>
              <w:t>+44 20 7338 6670</w:t>
            </w:r>
          </w:p>
        </w:tc>
      </w:tr>
      <w:tr w:rsidR="00BF6ACB" w:rsidRPr="003249D9" w:rsidTr="00BF6ACB">
        <w:trPr>
          <w:trHeight w:val="79"/>
        </w:trPr>
        <w:tc>
          <w:tcPr>
            <w:tcW w:w="595" w:type="dxa"/>
            <w:vAlign w:val="center"/>
          </w:tcPr>
          <w:p w:rsidR="00BF6ACB" w:rsidRPr="003249D9" w:rsidRDefault="00AB7CFF" w:rsidP="00BF6ACB">
            <w:pPr>
              <w:pStyle w:val="TASName"/>
              <w:rPr>
                <w:rFonts w:asciiTheme="minorHAnsi" w:hAnsiTheme="minorHAnsi"/>
              </w:rPr>
            </w:pPr>
            <w:r w:rsidRPr="003249D9">
              <w:rPr>
                <w:rFonts w:asciiTheme="minorHAnsi" w:hAnsiTheme="minorHAnsi"/>
              </w:rPr>
              <w:t>E</w:t>
            </w:r>
          </w:p>
        </w:tc>
        <w:tc>
          <w:tcPr>
            <w:tcW w:w="2300" w:type="dxa"/>
          </w:tcPr>
          <w:p w:rsidR="00BF6ACB" w:rsidRPr="003249D9" w:rsidRDefault="00AB7CFF" w:rsidP="00BF6ACB">
            <w:pPr>
              <w:pStyle w:val="TASContactinfo"/>
              <w:rPr>
                <w:rFonts w:asciiTheme="minorHAnsi" w:hAnsiTheme="minorHAnsi"/>
              </w:rPr>
            </w:pPr>
            <w:r w:rsidRPr="003249D9">
              <w:rPr>
                <w:rFonts w:asciiTheme="minorHAnsi" w:hAnsiTheme="minorHAnsi"/>
              </w:rPr>
              <w:t>PetrovsE@ebrd.com</w:t>
            </w:r>
          </w:p>
        </w:tc>
        <w:tc>
          <w:tcPr>
            <w:tcW w:w="489" w:type="dxa"/>
            <w:vAlign w:val="center"/>
          </w:tcPr>
          <w:p w:rsidR="00BF6ACB" w:rsidRPr="003249D9" w:rsidRDefault="008B40A2" w:rsidP="00BF6ACB">
            <w:pPr>
              <w:pStyle w:val="TASName"/>
              <w:rPr>
                <w:rFonts w:asciiTheme="minorHAnsi" w:hAnsiTheme="minorHAnsi"/>
              </w:rPr>
            </w:pPr>
            <w:r w:rsidRPr="003249D9">
              <w:rPr>
                <w:rFonts w:asciiTheme="minorHAnsi" w:hAnsiTheme="minorHAnsi"/>
              </w:rPr>
              <w:t>E</w:t>
            </w:r>
          </w:p>
        </w:tc>
        <w:tc>
          <w:tcPr>
            <w:tcW w:w="2322" w:type="dxa"/>
          </w:tcPr>
          <w:p w:rsidR="00BF6ACB" w:rsidRPr="003249D9" w:rsidRDefault="00AB7CFF" w:rsidP="00BF6ACB">
            <w:pPr>
              <w:pStyle w:val="TASContactinfo"/>
              <w:rPr>
                <w:rFonts w:asciiTheme="minorHAnsi" w:hAnsiTheme="minorHAnsi"/>
              </w:rPr>
            </w:pPr>
            <w:r w:rsidRPr="003249D9">
              <w:rPr>
                <w:rFonts w:asciiTheme="minorHAnsi" w:hAnsiTheme="minorHAnsi"/>
              </w:rPr>
              <w:t>BridgeC@ebrd.com</w:t>
            </w:r>
          </w:p>
        </w:tc>
      </w:tr>
    </w:tbl>
    <w:p w:rsidR="00BF6ACB" w:rsidRPr="003249D9" w:rsidRDefault="00BF6ACB" w:rsidP="00BF6ACB">
      <w:pPr>
        <w:pStyle w:val="TASBodytext"/>
        <w:rPr>
          <w:rFonts w:asciiTheme="minorHAnsi" w:hAnsiTheme="minorHAnsi"/>
        </w:rPr>
      </w:pPr>
    </w:p>
    <w:p w:rsidR="00BF6ACB" w:rsidRPr="003249D9" w:rsidRDefault="00AB7CFF" w:rsidP="00BF6ACB">
      <w:pPr>
        <w:pStyle w:val="TASBodytext"/>
        <w:rPr>
          <w:rFonts w:asciiTheme="minorHAnsi" w:hAnsiTheme="minorHAnsi"/>
        </w:rPr>
      </w:pPr>
      <w:r w:rsidRPr="003249D9">
        <w:rPr>
          <w:rFonts w:asciiTheme="minorHAnsi" w:hAnsiTheme="minorHAnsi"/>
        </w:rPr>
        <w:t>Együttműködésben az alábbiakkal:</w:t>
      </w:r>
    </w:p>
    <w:p w:rsidR="00BF6ACB" w:rsidRPr="003249D9" w:rsidRDefault="00BF6ACB" w:rsidP="00BF6ACB">
      <w:pPr>
        <w:pStyle w:val="TASBodytext"/>
        <w:rPr>
          <w:rFonts w:asciiTheme="minorHAnsi" w:hAnsiTheme="minorHAnsi"/>
        </w:rPr>
      </w:pPr>
    </w:p>
    <w:tbl>
      <w:tblPr>
        <w:tblW w:w="5706" w:type="dxa"/>
        <w:tblLayout w:type="fixed"/>
        <w:tblCellMar>
          <w:left w:w="284" w:type="dxa"/>
          <w:right w:w="0" w:type="dxa"/>
        </w:tblCellMar>
        <w:tblLook w:val="01E0" w:firstRow="1" w:lastRow="1" w:firstColumn="1" w:lastColumn="1" w:noHBand="0" w:noVBand="0"/>
      </w:tblPr>
      <w:tblGrid>
        <w:gridCol w:w="595"/>
        <w:gridCol w:w="2300"/>
        <w:gridCol w:w="489"/>
        <w:gridCol w:w="2322"/>
      </w:tblGrid>
      <w:tr w:rsidR="00BF6ACB" w:rsidRPr="003249D9" w:rsidTr="00BF6ACB">
        <w:trPr>
          <w:trHeight w:val="530"/>
        </w:trPr>
        <w:tc>
          <w:tcPr>
            <w:tcW w:w="2895" w:type="dxa"/>
            <w:gridSpan w:val="2"/>
            <w:vAlign w:val="center"/>
          </w:tcPr>
          <w:p w:rsidR="00BF6ACB" w:rsidRPr="003249D9" w:rsidRDefault="00872DD9" w:rsidP="00BF6ACB">
            <w:pPr>
              <w:pStyle w:val="TASName"/>
              <w:rPr>
                <w:rFonts w:asciiTheme="minorHAnsi" w:hAnsiTheme="minorHAnsi"/>
              </w:rPr>
            </w:pPr>
            <w:r w:rsidRPr="003249D9">
              <w:rPr>
                <w:rFonts w:asciiTheme="minorHAnsi" w:hAnsiTheme="minorHAnsi"/>
                <w:noProof/>
                <w:lang w:bidi="ar-SA"/>
              </w:rPr>
              <w:drawing>
                <wp:anchor distT="0" distB="0" distL="114300" distR="114300" simplePos="0" relativeHeight="251561984" behindDoc="0" locked="0" layoutInCell="1" allowOverlap="1" wp14:anchorId="03D75748" wp14:editId="773C146F">
                  <wp:simplePos x="0" y="0"/>
                  <wp:positionH relativeFrom="column">
                    <wp:posOffset>0</wp:posOffset>
                  </wp:positionH>
                  <wp:positionV relativeFrom="paragraph">
                    <wp:posOffset>0</wp:posOffset>
                  </wp:positionV>
                  <wp:extent cx="9525" cy="9525"/>
                  <wp:effectExtent l="0" t="0" r="0" b="0"/>
                  <wp:wrapNone/>
                  <wp:docPr id="455" name="c5ae16f69d3a4e5c939c0d5d695eb85d"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5ae16f69d3a4e5c939c0d5d695eb85d" hidden="1"/>
                          <pic:cNvPicPr preferRelativeResize="0">
                            <a:picLocks noChangeArrowheads="1" noChangeShapeType="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anchor>
              </w:drawing>
            </w:r>
            <w:r w:rsidRPr="003249D9">
              <w:rPr>
                <w:rFonts w:asciiTheme="minorHAnsi" w:hAnsiTheme="minorHAnsi"/>
              </w:rPr>
              <w:t>Tüske Balázs</w:t>
            </w:r>
          </w:p>
          <w:p w:rsidR="00BF6ACB" w:rsidRPr="003249D9" w:rsidRDefault="00AB7CFF" w:rsidP="00BF6ACB">
            <w:pPr>
              <w:pStyle w:val="TASPosition"/>
              <w:rPr>
                <w:rFonts w:asciiTheme="minorHAnsi" w:hAnsiTheme="minorHAnsi"/>
                <w:color w:val="auto"/>
              </w:rPr>
            </w:pPr>
            <w:r w:rsidRPr="003249D9">
              <w:rPr>
                <w:rFonts w:asciiTheme="minorHAnsi" w:hAnsiTheme="minorHAnsi"/>
              </w:rPr>
              <w:t>partner</w:t>
            </w:r>
          </w:p>
        </w:tc>
        <w:tc>
          <w:tcPr>
            <w:tcW w:w="2811" w:type="dxa"/>
            <w:gridSpan w:val="2"/>
            <w:vAlign w:val="center"/>
          </w:tcPr>
          <w:p w:rsidR="00BF6ACB" w:rsidRPr="003249D9" w:rsidRDefault="00AB7CFF" w:rsidP="00BF6ACB">
            <w:pPr>
              <w:pStyle w:val="TASName"/>
              <w:rPr>
                <w:rFonts w:asciiTheme="minorHAnsi" w:hAnsiTheme="minorHAnsi"/>
              </w:rPr>
            </w:pPr>
            <w:proofErr w:type="spellStart"/>
            <w:r w:rsidRPr="003249D9">
              <w:rPr>
                <w:rFonts w:asciiTheme="minorHAnsi" w:hAnsiTheme="minorHAnsi"/>
              </w:rPr>
              <w:t>Pálszabó</w:t>
            </w:r>
            <w:proofErr w:type="spellEnd"/>
            <w:r w:rsidRPr="003249D9">
              <w:rPr>
                <w:rFonts w:asciiTheme="minorHAnsi" w:hAnsiTheme="minorHAnsi"/>
              </w:rPr>
              <w:t xml:space="preserve"> Tibor</w:t>
            </w:r>
          </w:p>
          <w:p w:rsidR="00BF6ACB" w:rsidRPr="003249D9" w:rsidRDefault="00AB7CFF" w:rsidP="00BF6ACB">
            <w:pPr>
              <w:pStyle w:val="TASPosition"/>
              <w:rPr>
                <w:rFonts w:asciiTheme="minorHAnsi" w:hAnsiTheme="minorHAnsi"/>
              </w:rPr>
            </w:pPr>
            <w:r w:rsidRPr="003249D9">
              <w:rPr>
                <w:rFonts w:asciiTheme="minorHAnsi" w:hAnsiTheme="minorHAnsi"/>
              </w:rPr>
              <w:t>partner</w:t>
            </w:r>
          </w:p>
        </w:tc>
      </w:tr>
      <w:tr w:rsidR="00BF6ACB" w:rsidRPr="003249D9" w:rsidTr="00BF6ACB">
        <w:trPr>
          <w:trHeight w:val="79"/>
        </w:trPr>
        <w:tc>
          <w:tcPr>
            <w:tcW w:w="2895" w:type="dxa"/>
            <w:gridSpan w:val="2"/>
            <w:vAlign w:val="center"/>
          </w:tcPr>
          <w:p w:rsidR="00BF6ACB" w:rsidRPr="003249D9" w:rsidRDefault="00AB7CFF" w:rsidP="00BF6ACB">
            <w:pPr>
              <w:pStyle w:val="TASContactinfo"/>
              <w:rPr>
                <w:rFonts w:asciiTheme="minorHAnsi" w:hAnsiTheme="minorHAnsi"/>
              </w:rPr>
            </w:pPr>
            <w:r w:rsidRPr="003249D9">
              <w:rPr>
                <w:rFonts w:asciiTheme="minorHAnsi" w:hAnsiTheme="minorHAnsi"/>
              </w:rPr>
              <w:t xml:space="preserve">Tranzakciós tanácsadási szolgáltatások </w:t>
            </w:r>
          </w:p>
        </w:tc>
        <w:tc>
          <w:tcPr>
            <w:tcW w:w="2811" w:type="dxa"/>
            <w:gridSpan w:val="2"/>
            <w:vAlign w:val="center"/>
          </w:tcPr>
          <w:p w:rsidR="00BF6ACB" w:rsidRPr="003249D9" w:rsidRDefault="00AB7CFF" w:rsidP="00BF6ACB">
            <w:pPr>
              <w:pStyle w:val="TASContactinfo"/>
              <w:rPr>
                <w:rFonts w:asciiTheme="minorHAnsi" w:hAnsiTheme="minorHAnsi"/>
              </w:rPr>
            </w:pPr>
            <w:proofErr w:type="spellStart"/>
            <w:r w:rsidRPr="003249D9">
              <w:rPr>
                <w:rFonts w:asciiTheme="minorHAnsi" w:hAnsiTheme="minorHAnsi"/>
              </w:rPr>
              <w:t>Adótanácsadási</w:t>
            </w:r>
            <w:proofErr w:type="spellEnd"/>
            <w:r w:rsidRPr="003249D9">
              <w:rPr>
                <w:rFonts w:asciiTheme="minorHAnsi" w:hAnsiTheme="minorHAnsi"/>
              </w:rPr>
              <w:t xml:space="preserve"> szolgáltatások </w:t>
            </w:r>
          </w:p>
        </w:tc>
      </w:tr>
      <w:tr w:rsidR="00BF6ACB" w:rsidRPr="003249D9" w:rsidTr="00BF6ACB">
        <w:trPr>
          <w:trHeight w:val="79"/>
        </w:trPr>
        <w:tc>
          <w:tcPr>
            <w:tcW w:w="595" w:type="dxa"/>
            <w:vAlign w:val="center"/>
          </w:tcPr>
          <w:p w:rsidR="00BF6ACB" w:rsidRPr="003249D9" w:rsidRDefault="00AB7CFF" w:rsidP="00BF6ACB">
            <w:pPr>
              <w:pStyle w:val="TASName"/>
              <w:rPr>
                <w:rFonts w:asciiTheme="minorHAnsi" w:hAnsiTheme="minorHAnsi"/>
              </w:rPr>
            </w:pPr>
            <w:r w:rsidRPr="003249D9">
              <w:rPr>
                <w:rFonts w:asciiTheme="minorHAnsi" w:hAnsiTheme="minorHAnsi"/>
              </w:rPr>
              <w:t>T</w:t>
            </w:r>
          </w:p>
        </w:tc>
        <w:tc>
          <w:tcPr>
            <w:tcW w:w="2300" w:type="dxa"/>
            <w:vAlign w:val="center"/>
          </w:tcPr>
          <w:p w:rsidR="00BF6ACB" w:rsidRPr="003249D9" w:rsidRDefault="00AB7CFF" w:rsidP="00BF6ACB">
            <w:pPr>
              <w:pStyle w:val="TASContactinfo"/>
              <w:rPr>
                <w:rFonts w:asciiTheme="minorHAnsi" w:hAnsiTheme="minorHAnsi"/>
              </w:rPr>
            </w:pPr>
            <w:r w:rsidRPr="003249D9">
              <w:rPr>
                <w:rFonts w:asciiTheme="minorHAnsi" w:hAnsiTheme="minorHAnsi"/>
              </w:rPr>
              <w:t>+36 1 451 8153</w:t>
            </w:r>
          </w:p>
        </w:tc>
        <w:tc>
          <w:tcPr>
            <w:tcW w:w="489" w:type="dxa"/>
            <w:vAlign w:val="center"/>
          </w:tcPr>
          <w:p w:rsidR="00BF6ACB" w:rsidRPr="003249D9" w:rsidRDefault="00AB7CFF" w:rsidP="00BF6ACB">
            <w:pPr>
              <w:pStyle w:val="TASName"/>
              <w:rPr>
                <w:rFonts w:asciiTheme="minorHAnsi" w:hAnsiTheme="minorHAnsi"/>
              </w:rPr>
            </w:pPr>
            <w:r w:rsidRPr="003249D9">
              <w:rPr>
                <w:rFonts w:asciiTheme="minorHAnsi" w:hAnsiTheme="minorHAnsi"/>
              </w:rPr>
              <w:t>T</w:t>
            </w:r>
          </w:p>
        </w:tc>
        <w:tc>
          <w:tcPr>
            <w:tcW w:w="2322" w:type="dxa"/>
            <w:vAlign w:val="center"/>
          </w:tcPr>
          <w:p w:rsidR="00BF6ACB" w:rsidRPr="003249D9" w:rsidRDefault="00AB7CFF" w:rsidP="00BF6ACB">
            <w:pPr>
              <w:pStyle w:val="TASContactinfo"/>
              <w:rPr>
                <w:rFonts w:asciiTheme="minorHAnsi" w:hAnsiTheme="minorHAnsi"/>
              </w:rPr>
            </w:pPr>
            <w:r w:rsidRPr="003249D9">
              <w:rPr>
                <w:rFonts w:asciiTheme="minorHAnsi" w:hAnsiTheme="minorHAnsi"/>
              </w:rPr>
              <w:t>+36 1 451 8601</w:t>
            </w:r>
          </w:p>
        </w:tc>
      </w:tr>
      <w:tr w:rsidR="00BF6ACB" w:rsidRPr="003249D9" w:rsidTr="00BF6ACB">
        <w:trPr>
          <w:trHeight w:val="79"/>
        </w:trPr>
        <w:tc>
          <w:tcPr>
            <w:tcW w:w="595" w:type="dxa"/>
            <w:vAlign w:val="center"/>
          </w:tcPr>
          <w:p w:rsidR="00BF6ACB" w:rsidRPr="003249D9" w:rsidRDefault="00AB7CFF" w:rsidP="00BF6ACB">
            <w:pPr>
              <w:pStyle w:val="TASName"/>
              <w:rPr>
                <w:rFonts w:asciiTheme="minorHAnsi" w:hAnsiTheme="minorHAnsi"/>
              </w:rPr>
            </w:pPr>
            <w:r w:rsidRPr="003249D9">
              <w:rPr>
                <w:rFonts w:asciiTheme="minorHAnsi" w:hAnsiTheme="minorHAnsi"/>
              </w:rPr>
              <w:t>M</w:t>
            </w:r>
          </w:p>
        </w:tc>
        <w:tc>
          <w:tcPr>
            <w:tcW w:w="2300" w:type="dxa"/>
            <w:vAlign w:val="center"/>
          </w:tcPr>
          <w:p w:rsidR="00BF6ACB" w:rsidRPr="003249D9" w:rsidRDefault="00AB7CFF" w:rsidP="00BF6ACB">
            <w:pPr>
              <w:pStyle w:val="TASContactinfo"/>
              <w:rPr>
                <w:rFonts w:asciiTheme="minorHAnsi" w:hAnsiTheme="minorHAnsi"/>
              </w:rPr>
            </w:pPr>
            <w:r w:rsidRPr="003249D9">
              <w:rPr>
                <w:rFonts w:asciiTheme="minorHAnsi" w:hAnsiTheme="minorHAnsi"/>
              </w:rPr>
              <w:t>+36 30 919 3783</w:t>
            </w:r>
          </w:p>
        </w:tc>
        <w:tc>
          <w:tcPr>
            <w:tcW w:w="489" w:type="dxa"/>
            <w:vAlign w:val="center"/>
          </w:tcPr>
          <w:p w:rsidR="00BF6ACB" w:rsidRPr="003249D9" w:rsidRDefault="00AB7CFF" w:rsidP="00BF6ACB">
            <w:pPr>
              <w:pStyle w:val="TASName"/>
              <w:rPr>
                <w:rFonts w:asciiTheme="minorHAnsi" w:hAnsiTheme="minorHAnsi"/>
              </w:rPr>
            </w:pPr>
            <w:r w:rsidRPr="003249D9">
              <w:rPr>
                <w:rFonts w:asciiTheme="minorHAnsi" w:hAnsiTheme="minorHAnsi"/>
              </w:rPr>
              <w:t>M</w:t>
            </w:r>
          </w:p>
        </w:tc>
        <w:tc>
          <w:tcPr>
            <w:tcW w:w="2322" w:type="dxa"/>
            <w:vAlign w:val="center"/>
          </w:tcPr>
          <w:p w:rsidR="00BF6ACB" w:rsidRPr="003249D9" w:rsidRDefault="00AB7CFF" w:rsidP="00BF6ACB">
            <w:pPr>
              <w:pStyle w:val="TASContactinfo"/>
              <w:rPr>
                <w:rFonts w:asciiTheme="minorHAnsi" w:hAnsiTheme="minorHAnsi"/>
              </w:rPr>
            </w:pPr>
            <w:r w:rsidRPr="003249D9">
              <w:rPr>
                <w:rFonts w:asciiTheme="minorHAnsi" w:hAnsiTheme="minorHAnsi"/>
              </w:rPr>
              <w:t>+36 30 280 5243</w:t>
            </w:r>
          </w:p>
        </w:tc>
      </w:tr>
      <w:tr w:rsidR="00BF6ACB" w:rsidRPr="003249D9" w:rsidTr="00BF6ACB">
        <w:trPr>
          <w:trHeight w:val="79"/>
        </w:trPr>
        <w:tc>
          <w:tcPr>
            <w:tcW w:w="595" w:type="dxa"/>
            <w:vAlign w:val="center"/>
          </w:tcPr>
          <w:p w:rsidR="00BF6ACB" w:rsidRPr="003249D9" w:rsidRDefault="00AB7CFF" w:rsidP="00BF6ACB">
            <w:pPr>
              <w:pStyle w:val="TASName"/>
              <w:rPr>
                <w:rFonts w:asciiTheme="minorHAnsi" w:hAnsiTheme="minorHAnsi"/>
              </w:rPr>
            </w:pPr>
            <w:r w:rsidRPr="003249D9">
              <w:rPr>
                <w:rFonts w:asciiTheme="minorHAnsi" w:hAnsiTheme="minorHAnsi"/>
              </w:rPr>
              <w:t>E</w:t>
            </w:r>
          </w:p>
        </w:tc>
        <w:tc>
          <w:tcPr>
            <w:tcW w:w="2300" w:type="dxa"/>
            <w:vAlign w:val="center"/>
          </w:tcPr>
          <w:p w:rsidR="00BF6ACB" w:rsidRPr="003249D9" w:rsidRDefault="00AB7CFF" w:rsidP="00BF6ACB">
            <w:pPr>
              <w:pStyle w:val="TASContactinfo"/>
              <w:rPr>
                <w:rFonts w:asciiTheme="minorHAnsi" w:hAnsiTheme="minorHAnsi"/>
              </w:rPr>
            </w:pPr>
            <w:r w:rsidRPr="003249D9">
              <w:rPr>
                <w:rFonts w:asciiTheme="minorHAnsi" w:hAnsiTheme="minorHAnsi"/>
              </w:rPr>
              <w:t>Balazs</w:t>
            </w:r>
            <w:proofErr w:type="gramStart"/>
            <w:r w:rsidRPr="003249D9">
              <w:rPr>
                <w:rFonts w:asciiTheme="minorHAnsi" w:hAnsiTheme="minorHAnsi"/>
              </w:rPr>
              <w:t>.Tuske@hu.ey.com</w:t>
            </w:r>
            <w:proofErr w:type="gramEnd"/>
          </w:p>
        </w:tc>
        <w:tc>
          <w:tcPr>
            <w:tcW w:w="489" w:type="dxa"/>
            <w:vAlign w:val="center"/>
          </w:tcPr>
          <w:p w:rsidR="00BF6ACB" w:rsidRPr="003249D9" w:rsidRDefault="00AB7CFF" w:rsidP="00BF6ACB">
            <w:pPr>
              <w:pStyle w:val="TASName"/>
              <w:rPr>
                <w:rFonts w:asciiTheme="minorHAnsi" w:hAnsiTheme="minorHAnsi"/>
              </w:rPr>
            </w:pPr>
            <w:r w:rsidRPr="003249D9">
              <w:rPr>
                <w:rFonts w:asciiTheme="minorHAnsi" w:hAnsiTheme="minorHAnsi"/>
              </w:rPr>
              <w:t>E</w:t>
            </w:r>
          </w:p>
        </w:tc>
        <w:tc>
          <w:tcPr>
            <w:tcW w:w="2322" w:type="dxa"/>
            <w:vAlign w:val="center"/>
          </w:tcPr>
          <w:p w:rsidR="00BF6ACB" w:rsidRPr="003249D9" w:rsidRDefault="00AB7CFF" w:rsidP="00BF6ACB">
            <w:pPr>
              <w:pStyle w:val="TASContactinfo"/>
              <w:rPr>
                <w:rFonts w:asciiTheme="minorHAnsi" w:hAnsiTheme="minorHAnsi"/>
              </w:rPr>
            </w:pPr>
            <w:r w:rsidRPr="003249D9">
              <w:rPr>
                <w:rFonts w:asciiTheme="minorHAnsi" w:hAnsiTheme="minorHAnsi"/>
              </w:rPr>
              <w:t>Tibor</w:t>
            </w:r>
            <w:proofErr w:type="gramStart"/>
            <w:r w:rsidRPr="003249D9">
              <w:rPr>
                <w:rFonts w:asciiTheme="minorHAnsi" w:hAnsiTheme="minorHAnsi"/>
              </w:rPr>
              <w:t>.Palszabo@hu.ey.com</w:t>
            </w:r>
            <w:proofErr w:type="gramEnd"/>
          </w:p>
        </w:tc>
      </w:tr>
      <w:tr w:rsidR="00BF6ACB" w:rsidRPr="003249D9" w:rsidTr="00BF6ACB">
        <w:tc>
          <w:tcPr>
            <w:tcW w:w="2895" w:type="dxa"/>
            <w:gridSpan w:val="2"/>
            <w:vAlign w:val="center"/>
          </w:tcPr>
          <w:p w:rsidR="00BF6ACB" w:rsidRPr="003249D9" w:rsidRDefault="00BF6ACB" w:rsidP="00BF6ACB">
            <w:pPr>
              <w:pStyle w:val="TASName"/>
              <w:rPr>
                <w:rFonts w:asciiTheme="minorHAnsi" w:hAnsiTheme="minorHAnsi"/>
              </w:rPr>
            </w:pPr>
          </w:p>
        </w:tc>
        <w:tc>
          <w:tcPr>
            <w:tcW w:w="2811" w:type="dxa"/>
            <w:gridSpan w:val="2"/>
            <w:vAlign w:val="center"/>
          </w:tcPr>
          <w:p w:rsidR="00BF6ACB" w:rsidRPr="003249D9" w:rsidRDefault="00BF6ACB" w:rsidP="00BF6ACB">
            <w:pPr>
              <w:pStyle w:val="TASName"/>
              <w:rPr>
                <w:rFonts w:asciiTheme="minorHAnsi" w:hAnsiTheme="minorHAnsi"/>
              </w:rPr>
            </w:pPr>
          </w:p>
        </w:tc>
      </w:tr>
      <w:tr w:rsidR="00BF6ACB" w:rsidRPr="003249D9" w:rsidTr="00BF6ACB">
        <w:trPr>
          <w:trHeight w:val="530"/>
        </w:trPr>
        <w:tc>
          <w:tcPr>
            <w:tcW w:w="2895" w:type="dxa"/>
            <w:gridSpan w:val="2"/>
            <w:vAlign w:val="center"/>
          </w:tcPr>
          <w:p w:rsidR="00BF6ACB" w:rsidRPr="003249D9" w:rsidRDefault="00AB7CFF" w:rsidP="00BF6ACB">
            <w:pPr>
              <w:pStyle w:val="TASName"/>
              <w:rPr>
                <w:rFonts w:asciiTheme="minorHAnsi" w:hAnsiTheme="minorHAnsi"/>
              </w:rPr>
            </w:pPr>
            <w:r w:rsidRPr="003249D9">
              <w:rPr>
                <w:rFonts w:asciiTheme="minorHAnsi" w:hAnsiTheme="minorHAnsi"/>
              </w:rPr>
              <w:t>Horváth Gergely</w:t>
            </w:r>
          </w:p>
          <w:p w:rsidR="00BF6ACB" w:rsidRPr="003249D9" w:rsidRDefault="00AB7CFF" w:rsidP="00BA58AC">
            <w:pPr>
              <w:pStyle w:val="TASPosition"/>
              <w:rPr>
                <w:rFonts w:asciiTheme="minorHAnsi" w:hAnsiTheme="minorHAnsi"/>
              </w:rPr>
            </w:pPr>
            <w:r w:rsidRPr="003249D9">
              <w:rPr>
                <w:rFonts w:asciiTheme="minorHAnsi" w:hAnsiTheme="minorHAnsi"/>
              </w:rPr>
              <w:t xml:space="preserve">helyi partner / a magyar banki és pénzügyi </w:t>
            </w:r>
            <w:r w:rsidR="00BA58AC">
              <w:rPr>
                <w:rFonts w:asciiTheme="minorHAnsi" w:hAnsiTheme="minorHAnsi"/>
              </w:rPr>
              <w:t>csoport</w:t>
            </w:r>
            <w:r w:rsidR="00BA58AC" w:rsidRPr="003249D9">
              <w:rPr>
                <w:rFonts w:asciiTheme="minorHAnsi" w:hAnsiTheme="minorHAnsi"/>
              </w:rPr>
              <w:t xml:space="preserve"> </w:t>
            </w:r>
            <w:r w:rsidRPr="003249D9">
              <w:rPr>
                <w:rFonts w:asciiTheme="minorHAnsi" w:hAnsiTheme="minorHAnsi"/>
              </w:rPr>
              <w:t>vezetője</w:t>
            </w:r>
          </w:p>
        </w:tc>
        <w:tc>
          <w:tcPr>
            <w:tcW w:w="2811" w:type="dxa"/>
            <w:gridSpan w:val="2"/>
            <w:vAlign w:val="center"/>
          </w:tcPr>
          <w:p w:rsidR="00BF6ACB" w:rsidRPr="003249D9" w:rsidRDefault="00BF6ACB" w:rsidP="00BF6ACB">
            <w:pPr>
              <w:pStyle w:val="TASName"/>
              <w:rPr>
                <w:rFonts w:asciiTheme="minorHAnsi" w:hAnsiTheme="minorHAnsi"/>
              </w:rPr>
            </w:pPr>
          </w:p>
          <w:p w:rsidR="00BF6ACB" w:rsidRPr="003249D9" w:rsidRDefault="00AB7CFF" w:rsidP="00BF6ACB">
            <w:pPr>
              <w:pStyle w:val="TASName"/>
              <w:rPr>
                <w:rFonts w:asciiTheme="minorHAnsi" w:hAnsiTheme="minorHAnsi"/>
              </w:rPr>
            </w:pPr>
            <w:r w:rsidRPr="003249D9">
              <w:rPr>
                <w:rFonts w:asciiTheme="minorHAnsi" w:hAnsiTheme="minorHAnsi"/>
              </w:rPr>
              <w:t>Pataki Gabriella</w:t>
            </w:r>
          </w:p>
          <w:p w:rsidR="00BF6ACB" w:rsidRPr="003249D9" w:rsidRDefault="00AB7CFF" w:rsidP="00BF6ACB">
            <w:pPr>
              <w:pStyle w:val="TASPosition"/>
              <w:rPr>
                <w:rFonts w:asciiTheme="minorHAnsi" w:hAnsiTheme="minorHAnsi"/>
              </w:rPr>
            </w:pPr>
            <w:r w:rsidRPr="003249D9">
              <w:rPr>
                <w:rFonts w:asciiTheme="minorHAnsi" w:hAnsiTheme="minorHAnsi"/>
              </w:rPr>
              <w:t>ü</w:t>
            </w:r>
            <w:r w:rsidR="009E12B5">
              <w:rPr>
                <w:rFonts w:asciiTheme="minorHAnsi" w:hAnsiTheme="minorHAnsi"/>
              </w:rPr>
              <w:t>gyvéd</w:t>
            </w:r>
          </w:p>
        </w:tc>
      </w:tr>
      <w:tr w:rsidR="00BF6ACB" w:rsidRPr="003249D9" w:rsidTr="00BF6ACB">
        <w:trPr>
          <w:trHeight w:val="79"/>
        </w:trPr>
        <w:tc>
          <w:tcPr>
            <w:tcW w:w="2895" w:type="dxa"/>
            <w:gridSpan w:val="2"/>
            <w:vAlign w:val="center"/>
          </w:tcPr>
          <w:p w:rsidR="00BF6ACB" w:rsidRPr="003249D9" w:rsidRDefault="00AB7CFF" w:rsidP="00BF6ACB">
            <w:pPr>
              <w:pStyle w:val="TASContactinfo"/>
              <w:rPr>
                <w:rFonts w:asciiTheme="minorHAnsi" w:hAnsiTheme="minorHAnsi"/>
              </w:rPr>
            </w:pPr>
            <w:proofErr w:type="spellStart"/>
            <w:r w:rsidRPr="003249D9">
              <w:rPr>
                <w:rFonts w:asciiTheme="minorHAnsi" w:hAnsiTheme="minorHAnsi"/>
              </w:rPr>
              <w:t>Réczicza</w:t>
            </w:r>
            <w:proofErr w:type="spellEnd"/>
            <w:r w:rsidRPr="003249D9">
              <w:rPr>
                <w:rFonts w:asciiTheme="minorHAnsi" w:hAnsiTheme="minorHAnsi"/>
              </w:rPr>
              <w:t xml:space="preserve"> White &amp; </w:t>
            </w:r>
            <w:proofErr w:type="spellStart"/>
            <w:r w:rsidRPr="003249D9">
              <w:rPr>
                <w:rFonts w:asciiTheme="minorHAnsi" w:hAnsiTheme="minorHAnsi"/>
              </w:rPr>
              <w:t>Case</w:t>
            </w:r>
            <w:proofErr w:type="spellEnd"/>
            <w:r w:rsidRPr="003249D9">
              <w:rPr>
                <w:rFonts w:asciiTheme="minorHAnsi" w:hAnsiTheme="minorHAnsi"/>
              </w:rPr>
              <w:t xml:space="preserve"> LLP</w:t>
            </w:r>
          </w:p>
        </w:tc>
        <w:tc>
          <w:tcPr>
            <w:tcW w:w="2811" w:type="dxa"/>
            <w:gridSpan w:val="2"/>
            <w:vAlign w:val="center"/>
          </w:tcPr>
          <w:p w:rsidR="00BF6ACB" w:rsidRPr="003249D9" w:rsidRDefault="00AB7CFF" w:rsidP="00BF6ACB">
            <w:pPr>
              <w:pStyle w:val="TASContactinfo"/>
              <w:rPr>
                <w:rFonts w:asciiTheme="minorHAnsi" w:hAnsiTheme="minorHAnsi"/>
              </w:rPr>
            </w:pPr>
            <w:proofErr w:type="spellStart"/>
            <w:r w:rsidRPr="003249D9">
              <w:rPr>
                <w:rFonts w:asciiTheme="minorHAnsi" w:hAnsiTheme="minorHAnsi"/>
              </w:rPr>
              <w:t>Réczicza</w:t>
            </w:r>
            <w:proofErr w:type="spellEnd"/>
            <w:r w:rsidRPr="003249D9">
              <w:rPr>
                <w:rFonts w:asciiTheme="minorHAnsi" w:hAnsiTheme="minorHAnsi"/>
              </w:rPr>
              <w:t xml:space="preserve"> White &amp; </w:t>
            </w:r>
            <w:proofErr w:type="spellStart"/>
            <w:r w:rsidRPr="003249D9">
              <w:rPr>
                <w:rFonts w:asciiTheme="minorHAnsi" w:hAnsiTheme="minorHAnsi"/>
              </w:rPr>
              <w:t>Case</w:t>
            </w:r>
            <w:proofErr w:type="spellEnd"/>
            <w:r w:rsidRPr="003249D9">
              <w:rPr>
                <w:rFonts w:asciiTheme="minorHAnsi" w:hAnsiTheme="minorHAnsi"/>
              </w:rPr>
              <w:t xml:space="preserve"> LLP</w:t>
            </w:r>
          </w:p>
        </w:tc>
      </w:tr>
      <w:tr w:rsidR="00BF6ACB" w:rsidRPr="003249D9" w:rsidTr="00BF6ACB">
        <w:trPr>
          <w:trHeight w:val="79"/>
        </w:trPr>
        <w:tc>
          <w:tcPr>
            <w:tcW w:w="595" w:type="dxa"/>
            <w:vAlign w:val="center"/>
          </w:tcPr>
          <w:p w:rsidR="00BF6ACB" w:rsidRPr="003249D9" w:rsidRDefault="00AB7CFF" w:rsidP="00BF6ACB">
            <w:pPr>
              <w:pStyle w:val="TASName"/>
              <w:rPr>
                <w:rFonts w:asciiTheme="minorHAnsi" w:hAnsiTheme="minorHAnsi"/>
              </w:rPr>
            </w:pPr>
            <w:r w:rsidRPr="003249D9">
              <w:rPr>
                <w:rFonts w:asciiTheme="minorHAnsi" w:hAnsiTheme="minorHAnsi"/>
              </w:rPr>
              <w:t>T</w:t>
            </w:r>
          </w:p>
        </w:tc>
        <w:tc>
          <w:tcPr>
            <w:tcW w:w="2300" w:type="dxa"/>
          </w:tcPr>
          <w:p w:rsidR="00BF6ACB" w:rsidRPr="003249D9" w:rsidRDefault="00AB7CFF" w:rsidP="00BF6ACB">
            <w:pPr>
              <w:pStyle w:val="TASContactinfo"/>
              <w:rPr>
                <w:rFonts w:asciiTheme="minorHAnsi" w:hAnsiTheme="minorHAnsi"/>
              </w:rPr>
            </w:pPr>
            <w:r w:rsidRPr="003249D9">
              <w:rPr>
                <w:rFonts w:asciiTheme="minorHAnsi" w:hAnsiTheme="minorHAnsi"/>
              </w:rPr>
              <w:t>+36 1 488 5200</w:t>
            </w:r>
          </w:p>
        </w:tc>
        <w:tc>
          <w:tcPr>
            <w:tcW w:w="489" w:type="dxa"/>
            <w:vAlign w:val="center"/>
          </w:tcPr>
          <w:p w:rsidR="00BF6ACB" w:rsidRPr="003249D9" w:rsidRDefault="00AB7CFF" w:rsidP="00BF6ACB">
            <w:pPr>
              <w:pStyle w:val="TASName"/>
              <w:rPr>
                <w:rFonts w:asciiTheme="minorHAnsi" w:hAnsiTheme="minorHAnsi"/>
              </w:rPr>
            </w:pPr>
            <w:r w:rsidRPr="003249D9">
              <w:rPr>
                <w:rFonts w:asciiTheme="minorHAnsi" w:hAnsiTheme="minorHAnsi"/>
              </w:rPr>
              <w:t>T</w:t>
            </w:r>
          </w:p>
        </w:tc>
        <w:tc>
          <w:tcPr>
            <w:tcW w:w="2322" w:type="dxa"/>
          </w:tcPr>
          <w:p w:rsidR="00BF6ACB" w:rsidRPr="003249D9" w:rsidRDefault="00AB7CFF" w:rsidP="00BF6ACB">
            <w:pPr>
              <w:pStyle w:val="TASContactinfo"/>
              <w:rPr>
                <w:rFonts w:asciiTheme="minorHAnsi" w:hAnsiTheme="minorHAnsi"/>
              </w:rPr>
            </w:pPr>
            <w:r w:rsidRPr="003249D9">
              <w:rPr>
                <w:rFonts w:asciiTheme="minorHAnsi" w:hAnsiTheme="minorHAnsi"/>
              </w:rPr>
              <w:t>+36 1 488 5200</w:t>
            </w:r>
          </w:p>
        </w:tc>
      </w:tr>
      <w:tr w:rsidR="00BF6ACB" w:rsidRPr="003249D9" w:rsidTr="00BF6ACB">
        <w:trPr>
          <w:trHeight w:val="79"/>
        </w:trPr>
        <w:tc>
          <w:tcPr>
            <w:tcW w:w="595" w:type="dxa"/>
            <w:vAlign w:val="center"/>
          </w:tcPr>
          <w:p w:rsidR="00BF6ACB" w:rsidRPr="003249D9" w:rsidRDefault="008B40A2" w:rsidP="00BF6ACB">
            <w:pPr>
              <w:pStyle w:val="TASName"/>
              <w:rPr>
                <w:rFonts w:asciiTheme="minorHAnsi" w:hAnsiTheme="minorHAnsi"/>
              </w:rPr>
            </w:pPr>
            <w:r w:rsidRPr="003249D9">
              <w:rPr>
                <w:rFonts w:asciiTheme="minorHAnsi" w:hAnsiTheme="minorHAnsi"/>
              </w:rPr>
              <w:t>F</w:t>
            </w:r>
          </w:p>
        </w:tc>
        <w:tc>
          <w:tcPr>
            <w:tcW w:w="2300" w:type="dxa"/>
          </w:tcPr>
          <w:p w:rsidR="00BF6ACB" w:rsidRPr="003249D9" w:rsidRDefault="00AB7CFF" w:rsidP="00BF6ACB">
            <w:pPr>
              <w:pStyle w:val="TASContactinfo"/>
              <w:rPr>
                <w:rFonts w:asciiTheme="minorHAnsi" w:hAnsiTheme="minorHAnsi"/>
              </w:rPr>
            </w:pPr>
            <w:r w:rsidRPr="003249D9">
              <w:rPr>
                <w:rFonts w:asciiTheme="minorHAnsi" w:hAnsiTheme="minorHAnsi"/>
              </w:rPr>
              <w:t>+36 1 488 5299</w:t>
            </w:r>
          </w:p>
        </w:tc>
        <w:tc>
          <w:tcPr>
            <w:tcW w:w="489" w:type="dxa"/>
            <w:vAlign w:val="center"/>
          </w:tcPr>
          <w:p w:rsidR="00BF6ACB" w:rsidRPr="003249D9" w:rsidRDefault="008B40A2" w:rsidP="00BF6ACB">
            <w:pPr>
              <w:pStyle w:val="TASName"/>
              <w:rPr>
                <w:rFonts w:asciiTheme="minorHAnsi" w:hAnsiTheme="minorHAnsi"/>
              </w:rPr>
            </w:pPr>
            <w:r w:rsidRPr="003249D9">
              <w:rPr>
                <w:rFonts w:asciiTheme="minorHAnsi" w:hAnsiTheme="minorHAnsi"/>
              </w:rPr>
              <w:t>F</w:t>
            </w:r>
          </w:p>
        </w:tc>
        <w:tc>
          <w:tcPr>
            <w:tcW w:w="2322" w:type="dxa"/>
          </w:tcPr>
          <w:p w:rsidR="00BF6ACB" w:rsidRPr="003249D9" w:rsidRDefault="00AB7CFF" w:rsidP="00BF6ACB">
            <w:pPr>
              <w:pStyle w:val="TASContactinfo"/>
              <w:rPr>
                <w:rFonts w:asciiTheme="minorHAnsi" w:hAnsiTheme="minorHAnsi"/>
              </w:rPr>
            </w:pPr>
            <w:r w:rsidRPr="003249D9">
              <w:rPr>
                <w:rFonts w:asciiTheme="minorHAnsi" w:hAnsiTheme="minorHAnsi"/>
              </w:rPr>
              <w:t>+36 1 488 5299</w:t>
            </w:r>
          </w:p>
        </w:tc>
      </w:tr>
      <w:tr w:rsidR="00BF6ACB" w:rsidRPr="003249D9" w:rsidTr="00BF6ACB">
        <w:trPr>
          <w:trHeight w:val="79"/>
        </w:trPr>
        <w:tc>
          <w:tcPr>
            <w:tcW w:w="595" w:type="dxa"/>
            <w:vAlign w:val="center"/>
          </w:tcPr>
          <w:p w:rsidR="00BF6ACB" w:rsidRPr="003249D9" w:rsidRDefault="00AB7CFF" w:rsidP="00BF6ACB">
            <w:pPr>
              <w:pStyle w:val="TASName"/>
              <w:rPr>
                <w:rFonts w:asciiTheme="minorHAnsi" w:hAnsiTheme="minorHAnsi"/>
              </w:rPr>
            </w:pPr>
            <w:r w:rsidRPr="003249D9">
              <w:rPr>
                <w:rFonts w:asciiTheme="minorHAnsi" w:hAnsiTheme="minorHAnsi"/>
              </w:rPr>
              <w:t>E</w:t>
            </w:r>
          </w:p>
        </w:tc>
        <w:tc>
          <w:tcPr>
            <w:tcW w:w="2300" w:type="dxa"/>
          </w:tcPr>
          <w:p w:rsidR="00BF6ACB" w:rsidRPr="003249D9" w:rsidRDefault="00AB7CFF" w:rsidP="00BF6ACB">
            <w:pPr>
              <w:pStyle w:val="TASContactinfo"/>
              <w:rPr>
                <w:rFonts w:asciiTheme="minorHAnsi" w:hAnsiTheme="minorHAnsi"/>
              </w:rPr>
            </w:pPr>
            <w:r w:rsidRPr="003249D9">
              <w:rPr>
                <w:rFonts w:asciiTheme="minorHAnsi" w:hAnsiTheme="minorHAnsi"/>
              </w:rPr>
              <w:t>ghorvath@whitecase.com</w:t>
            </w:r>
          </w:p>
        </w:tc>
        <w:tc>
          <w:tcPr>
            <w:tcW w:w="489" w:type="dxa"/>
            <w:vAlign w:val="center"/>
          </w:tcPr>
          <w:p w:rsidR="00BF6ACB" w:rsidRPr="003249D9" w:rsidRDefault="008B40A2" w:rsidP="00BF6ACB">
            <w:pPr>
              <w:pStyle w:val="TASName"/>
              <w:rPr>
                <w:rFonts w:asciiTheme="minorHAnsi" w:hAnsiTheme="minorHAnsi"/>
              </w:rPr>
            </w:pPr>
            <w:r w:rsidRPr="003249D9">
              <w:rPr>
                <w:rFonts w:asciiTheme="minorHAnsi" w:hAnsiTheme="minorHAnsi"/>
              </w:rPr>
              <w:t>E</w:t>
            </w:r>
          </w:p>
        </w:tc>
        <w:tc>
          <w:tcPr>
            <w:tcW w:w="2322" w:type="dxa"/>
          </w:tcPr>
          <w:p w:rsidR="00BF6ACB" w:rsidRPr="003249D9" w:rsidRDefault="00AB7CFF" w:rsidP="00BF6ACB">
            <w:pPr>
              <w:pStyle w:val="TASContactinfo"/>
              <w:rPr>
                <w:rFonts w:asciiTheme="minorHAnsi" w:hAnsiTheme="minorHAnsi"/>
              </w:rPr>
            </w:pPr>
            <w:r w:rsidRPr="003249D9">
              <w:rPr>
                <w:rFonts w:asciiTheme="minorHAnsi" w:hAnsiTheme="minorHAnsi"/>
              </w:rPr>
              <w:t xml:space="preserve">gpataki@whitecase.com </w:t>
            </w:r>
          </w:p>
        </w:tc>
      </w:tr>
      <w:tr w:rsidR="00BF6ACB" w:rsidRPr="003249D9" w:rsidTr="00BF6ACB">
        <w:trPr>
          <w:trHeight w:val="483"/>
        </w:trPr>
        <w:tc>
          <w:tcPr>
            <w:tcW w:w="595" w:type="dxa"/>
            <w:vAlign w:val="center"/>
          </w:tcPr>
          <w:p w:rsidR="00BF6ACB" w:rsidRPr="003249D9" w:rsidRDefault="00BF6ACB" w:rsidP="00BF6ACB">
            <w:pPr>
              <w:rPr>
                <w:rFonts w:asciiTheme="minorHAnsi" w:hAnsiTheme="minorHAnsi"/>
              </w:rPr>
            </w:pPr>
          </w:p>
        </w:tc>
        <w:tc>
          <w:tcPr>
            <w:tcW w:w="2300" w:type="dxa"/>
            <w:vAlign w:val="center"/>
          </w:tcPr>
          <w:p w:rsidR="00BF6ACB" w:rsidRPr="003249D9" w:rsidRDefault="00BF6ACB" w:rsidP="00BF6ACB">
            <w:pPr>
              <w:pStyle w:val="TASContactinfo"/>
              <w:rPr>
                <w:rFonts w:asciiTheme="minorHAnsi" w:hAnsiTheme="minorHAnsi"/>
              </w:rPr>
            </w:pPr>
          </w:p>
        </w:tc>
        <w:tc>
          <w:tcPr>
            <w:tcW w:w="489" w:type="dxa"/>
            <w:vAlign w:val="center"/>
          </w:tcPr>
          <w:p w:rsidR="00BF6ACB" w:rsidRPr="003249D9" w:rsidRDefault="00BF6ACB" w:rsidP="00BF6ACB">
            <w:pPr>
              <w:rPr>
                <w:rFonts w:asciiTheme="minorHAnsi" w:hAnsiTheme="minorHAnsi"/>
              </w:rPr>
            </w:pPr>
          </w:p>
        </w:tc>
        <w:tc>
          <w:tcPr>
            <w:tcW w:w="2322" w:type="dxa"/>
            <w:vAlign w:val="center"/>
          </w:tcPr>
          <w:p w:rsidR="00BF6ACB" w:rsidRPr="003249D9" w:rsidRDefault="00BF6ACB" w:rsidP="00BF6ACB">
            <w:pPr>
              <w:pStyle w:val="TASContactinfo"/>
              <w:rPr>
                <w:rFonts w:asciiTheme="minorHAnsi" w:hAnsiTheme="minorHAnsi"/>
              </w:rPr>
            </w:pPr>
          </w:p>
        </w:tc>
      </w:tr>
    </w:tbl>
    <w:p w:rsidR="00BF6ACB" w:rsidRPr="003249D9" w:rsidRDefault="00BF6ACB" w:rsidP="00BF6ACB">
      <w:pPr>
        <w:pStyle w:val="TASBodytext"/>
        <w:rPr>
          <w:rFonts w:asciiTheme="minorHAnsi" w:hAnsiTheme="minorHAnsi"/>
          <w:szCs w:val="64"/>
        </w:rPr>
        <w:sectPr w:rsidR="00BF6ACB" w:rsidRPr="003249D9" w:rsidSect="00BF6ACB">
          <w:headerReference w:type="even" r:id="rId14"/>
          <w:headerReference w:type="default" r:id="rId15"/>
          <w:footerReference w:type="even" r:id="rId16"/>
          <w:footerReference w:type="default" r:id="rId17"/>
          <w:headerReference w:type="first" r:id="rId18"/>
          <w:footerReference w:type="first" r:id="rId19"/>
          <w:pgSz w:w="11909" w:h="16834" w:code="9"/>
          <w:pgMar w:top="5400" w:right="792" w:bottom="1022" w:left="4291" w:header="792" w:footer="706" w:gutter="0"/>
          <w:cols w:space="720"/>
          <w:docGrid w:linePitch="360"/>
        </w:sectPr>
      </w:pPr>
    </w:p>
    <w:p w:rsidR="00BF6ACB" w:rsidRPr="003249D9" w:rsidRDefault="00446C67">
      <w:pPr>
        <w:pStyle w:val="TOC2"/>
        <w:rPr>
          <w:rFonts w:asciiTheme="minorHAnsi" w:eastAsiaTheme="minorEastAsia" w:hAnsiTheme="minorHAnsi" w:cstheme="minorHAnsi"/>
          <w:b w:val="0"/>
          <w:noProof/>
          <w:color w:val="auto"/>
          <w:sz w:val="22"/>
          <w:szCs w:val="22"/>
          <w:lang w:eastAsia="zh-CN" w:bidi="ar-SA"/>
        </w:rPr>
      </w:pPr>
      <w:r w:rsidRPr="003249D9">
        <w:rPr>
          <w:rFonts w:asciiTheme="minorHAnsi" w:hAnsiTheme="minorHAnsi" w:cstheme="minorHAnsi"/>
          <w:szCs w:val="24"/>
        </w:rPr>
        <w:lastRenderedPageBreak/>
        <w:fldChar w:fldCharType="begin"/>
      </w:r>
      <w:r w:rsidR="00AB7CFF" w:rsidRPr="003249D9">
        <w:rPr>
          <w:rFonts w:asciiTheme="minorHAnsi" w:hAnsiTheme="minorHAnsi" w:cstheme="minorHAnsi"/>
          <w:szCs w:val="24"/>
        </w:rPr>
        <w:instrText xml:space="preserve"> TOC \h \z \t "TAS Divider title,1,TAS Subsection,3,TAS Section title,2" </w:instrText>
      </w:r>
      <w:r w:rsidRPr="003249D9">
        <w:rPr>
          <w:rFonts w:asciiTheme="minorHAnsi" w:hAnsiTheme="minorHAnsi" w:cstheme="minorHAnsi"/>
          <w:szCs w:val="24"/>
        </w:rPr>
        <w:fldChar w:fldCharType="separate"/>
      </w:r>
      <w:hyperlink w:anchor="_Toc403750016" w:history="1">
        <w:r w:rsidR="00BF6ACB" w:rsidRPr="003249D9">
          <w:rPr>
            <w:rStyle w:val="Hyperlink"/>
            <w:rFonts w:asciiTheme="minorHAnsi" w:hAnsiTheme="minorHAnsi" w:cstheme="minorHAnsi"/>
            <w:noProof/>
          </w:rPr>
          <w:t>Vezetői összefoglaló</w:t>
        </w:r>
        <w:r w:rsidR="00BF6ACB" w:rsidRPr="003249D9">
          <w:rPr>
            <w:rFonts w:asciiTheme="minorHAnsi" w:hAnsiTheme="minorHAnsi" w:cstheme="minorHAnsi"/>
            <w:noProof/>
            <w:webHidden/>
          </w:rPr>
          <w:tab/>
        </w:r>
        <w:r w:rsidRPr="003249D9">
          <w:rPr>
            <w:rFonts w:asciiTheme="minorHAnsi" w:hAnsiTheme="minorHAnsi" w:cstheme="minorHAnsi"/>
            <w:noProof/>
            <w:webHidden/>
          </w:rPr>
          <w:fldChar w:fldCharType="begin"/>
        </w:r>
        <w:r w:rsidR="00BF6ACB" w:rsidRPr="003249D9">
          <w:rPr>
            <w:rFonts w:asciiTheme="minorHAnsi" w:hAnsiTheme="minorHAnsi" w:cstheme="minorHAnsi"/>
            <w:noProof/>
            <w:webHidden/>
          </w:rPr>
          <w:instrText xml:space="preserve"> PAGEREF _Toc403750016 \h </w:instrText>
        </w:r>
        <w:r w:rsidRPr="003249D9">
          <w:rPr>
            <w:rFonts w:asciiTheme="minorHAnsi" w:hAnsiTheme="minorHAnsi" w:cstheme="minorHAnsi"/>
            <w:noProof/>
            <w:webHidden/>
          </w:rPr>
        </w:r>
        <w:r w:rsidRPr="003249D9">
          <w:rPr>
            <w:rFonts w:asciiTheme="minorHAnsi" w:hAnsiTheme="minorHAnsi" w:cstheme="minorHAnsi"/>
            <w:noProof/>
            <w:webHidden/>
          </w:rPr>
          <w:fldChar w:fldCharType="separate"/>
        </w:r>
        <w:r w:rsidR="00BF6ACB" w:rsidRPr="003249D9">
          <w:rPr>
            <w:rFonts w:asciiTheme="minorHAnsi" w:hAnsiTheme="minorHAnsi" w:cstheme="minorHAnsi"/>
            <w:noProof/>
            <w:webHidden/>
          </w:rPr>
          <w:t>3</w:t>
        </w:r>
        <w:r w:rsidRPr="003249D9">
          <w:rPr>
            <w:rFonts w:asciiTheme="minorHAnsi" w:hAnsiTheme="minorHAnsi" w:cstheme="minorHAnsi"/>
            <w:noProof/>
            <w:webHidden/>
          </w:rPr>
          <w:fldChar w:fldCharType="end"/>
        </w:r>
      </w:hyperlink>
    </w:p>
    <w:p w:rsidR="00BF6ACB" w:rsidRPr="003249D9" w:rsidRDefault="002D610B">
      <w:pPr>
        <w:pStyle w:val="TOC2"/>
        <w:rPr>
          <w:rFonts w:asciiTheme="minorHAnsi" w:eastAsiaTheme="minorEastAsia" w:hAnsiTheme="minorHAnsi" w:cstheme="minorHAnsi"/>
          <w:b w:val="0"/>
          <w:noProof/>
          <w:color w:val="auto"/>
          <w:sz w:val="22"/>
          <w:szCs w:val="22"/>
          <w:lang w:eastAsia="zh-CN" w:bidi="ar-SA"/>
        </w:rPr>
      </w:pPr>
      <w:hyperlink w:anchor="_Toc403750017" w:history="1">
        <w:r w:rsidR="00BF6ACB" w:rsidRPr="003249D9">
          <w:rPr>
            <w:rStyle w:val="Hyperlink"/>
            <w:rFonts w:asciiTheme="minorHAnsi" w:hAnsiTheme="minorHAnsi" w:cstheme="minorHAnsi"/>
            <w:noProof/>
          </w:rPr>
          <w:t>A projekt előzményei</w:t>
        </w:r>
        <w:r w:rsidR="00BF6ACB" w:rsidRPr="003249D9">
          <w:rPr>
            <w:rFonts w:asciiTheme="minorHAnsi" w:hAnsiTheme="minorHAnsi" w:cstheme="minorHAnsi"/>
            <w:noProof/>
            <w:webHidden/>
          </w:rPr>
          <w:tab/>
        </w:r>
        <w:r w:rsidR="00446C67" w:rsidRPr="003249D9">
          <w:rPr>
            <w:rFonts w:asciiTheme="minorHAnsi" w:hAnsiTheme="minorHAnsi" w:cstheme="minorHAnsi"/>
            <w:noProof/>
            <w:webHidden/>
          </w:rPr>
          <w:fldChar w:fldCharType="begin"/>
        </w:r>
        <w:r w:rsidR="00BF6ACB" w:rsidRPr="003249D9">
          <w:rPr>
            <w:rFonts w:asciiTheme="minorHAnsi" w:hAnsiTheme="minorHAnsi" w:cstheme="minorHAnsi"/>
            <w:noProof/>
            <w:webHidden/>
          </w:rPr>
          <w:instrText xml:space="preserve"> PAGEREF _Toc403750017 \h </w:instrText>
        </w:r>
        <w:r w:rsidR="00446C67" w:rsidRPr="003249D9">
          <w:rPr>
            <w:rFonts w:asciiTheme="minorHAnsi" w:hAnsiTheme="minorHAnsi" w:cstheme="minorHAnsi"/>
            <w:noProof/>
            <w:webHidden/>
          </w:rPr>
        </w:r>
        <w:r w:rsidR="00446C67" w:rsidRPr="003249D9">
          <w:rPr>
            <w:rFonts w:asciiTheme="minorHAnsi" w:hAnsiTheme="minorHAnsi" w:cstheme="minorHAnsi"/>
            <w:noProof/>
            <w:webHidden/>
          </w:rPr>
          <w:fldChar w:fldCharType="separate"/>
        </w:r>
        <w:r w:rsidR="00BF6ACB" w:rsidRPr="003249D9">
          <w:rPr>
            <w:rFonts w:asciiTheme="minorHAnsi" w:hAnsiTheme="minorHAnsi" w:cstheme="minorHAnsi"/>
            <w:noProof/>
            <w:webHidden/>
          </w:rPr>
          <w:t>11</w:t>
        </w:r>
        <w:r w:rsidR="00446C67" w:rsidRPr="003249D9">
          <w:rPr>
            <w:rFonts w:asciiTheme="minorHAnsi" w:hAnsiTheme="minorHAnsi" w:cstheme="minorHAnsi"/>
            <w:noProof/>
            <w:webHidden/>
          </w:rPr>
          <w:fldChar w:fldCharType="end"/>
        </w:r>
      </w:hyperlink>
    </w:p>
    <w:p w:rsidR="00BF6ACB" w:rsidRPr="003249D9" w:rsidRDefault="002D610B">
      <w:pPr>
        <w:pStyle w:val="TOC3"/>
        <w:rPr>
          <w:rFonts w:asciiTheme="minorHAnsi" w:eastAsiaTheme="minorEastAsia" w:hAnsiTheme="minorHAnsi" w:cstheme="minorHAnsi"/>
          <w:noProof/>
          <w:sz w:val="22"/>
          <w:szCs w:val="22"/>
          <w:lang w:eastAsia="zh-CN" w:bidi="ar-SA"/>
        </w:rPr>
      </w:pPr>
      <w:hyperlink w:anchor="_Toc403750018" w:history="1">
        <w:r w:rsidR="00BF6ACB" w:rsidRPr="003249D9">
          <w:rPr>
            <w:rStyle w:val="Hyperlink"/>
            <w:rFonts w:asciiTheme="minorHAnsi" w:hAnsiTheme="minorHAnsi" w:cstheme="minorHAnsi"/>
            <w:noProof/>
          </w:rPr>
          <w:t>A projekt előzményei</w:t>
        </w:r>
        <w:r w:rsidR="00BF6ACB" w:rsidRPr="003249D9">
          <w:rPr>
            <w:rFonts w:asciiTheme="minorHAnsi" w:hAnsiTheme="minorHAnsi" w:cstheme="minorHAnsi"/>
            <w:noProof/>
            <w:webHidden/>
          </w:rPr>
          <w:tab/>
        </w:r>
        <w:r w:rsidR="00446C67" w:rsidRPr="003249D9">
          <w:rPr>
            <w:rFonts w:asciiTheme="minorHAnsi" w:hAnsiTheme="minorHAnsi" w:cstheme="minorHAnsi"/>
            <w:noProof/>
            <w:webHidden/>
          </w:rPr>
          <w:fldChar w:fldCharType="begin"/>
        </w:r>
        <w:r w:rsidR="00BF6ACB" w:rsidRPr="003249D9">
          <w:rPr>
            <w:rFonts w:asciiTheme="minorHAnsi" w:hAnsiTheme="minorHAnsi" w:cstheme="minorHAnsi"/>
            <w:noProof/>
            <w:webHidden/>
          </w:rPr>
          <w:instrText xml:space="preserve"> PAGEREF _Toc403750018 \h </w:instrText>
        </w:r>
        <w:r w:rsidR="00446C67" w:rsidRPr="003249D9">
          <w:rPr>
            <w:rFonts w:asciiTheme="minorHAnsi" w:hAnsiTheme="minorHAnsi" w:cstheme="minorHAnsi"/>
            <w:noProof/>
            <w:webHidden/>
          </w:rPr>
        </w:r>
        <w:r w:rsidR="00446C67" w:rsidRPr="003249D9">
          <w:rPr>
            <w:rFonts w:asciiTheme="minorHAnsi" w:hAnsiTheme="minorHAnsi" w:cstheme="minorHAnsi"/>
            <w:noProof/>
            <w:webHidden/>
          </w:rPr>
          <w:fldChar w:fldCharType="separate"/>
        </w:r>
        <w:r w:rsidR="00BF6ACB" w:rsidRPr="003249D9">
          <w:rPr>
            <w:rFonts w:asciiTheme="minorHAnsi" w:hAnsiTheme="minorHAnsi" w:cstheme="minorHAnsi"/>
            <w:noProof/>
            <w:webHidden/>
          </w:rPr>
          <w:t>12</w:t>
        </w:r>
        <w:r w:rsidR="00446C67" w:rsidRPr="003249D9">
          <w:rPr>
            <w:rFonts w:asciiTheme="minorHAnsi" w:hAnsiTheme="minorHAnsi" w:cstheme="minorHAnsi"/>
            <w:noProof/>
            <w:webHidden/>
          </w:rPr>
          <w:fldChar w:fldCharType="end"/>
        </w:r>
      </w:hyperlink>
    </w:p>
    <w:p w:rsidR="00BF6ACB" w:rsidRPr="003249D9" w:rsidRDefault="002D610B">
      <w:pPr>
        <w:pStyle w:val="TOC2"/>
        <w:rPr>
          <w:rFonts w:asciiTheme="minorHAnsi" w:eastAsiaTheme="minorEastAsia" w:hAnsiTheme="minorHAnsi" w:cstheme="minorHAnsi"/>
          <w:b w:val="0"/>
          <w:noProof/>
          <w:color w:val="auto"/>
          <w:sz w:val="22"/>
          <w:szCs w:val="22"/>
          <w:lang w:eastAsia="zh-CN" w:bidi="ar-SA"/>
        </w:rPr>
      </w:pPr>
      <w:hyperlink w:anchor="_Toc403750019" w:history="1">
        <w:r w:rsidR="00BF6ACB" w:rsidRPr="003249D9">
          <w:rPr>
            <w:rStyle w:val="Hyperlink"/>
            <w:rFonts w:asciiTheme="minorHAnsi" w:hAnsiTheme="minorHAnsi" w:cstheme="minorHAnsi"/>
            <w:noProof/>
          </w:rPr>
          <w:t>A nemteljesítő hitelek jelentette helyzet elemzése</w:t>
        </w:r>
        <w:r w:rsidR="00BF6ACB" w:rsidRPr="003249D9">
          <w:rPr>
            <w:rFonts w:asciiTheme="minorHAnsi" w:hAnsiTheme="minorHAnsi" w:cstheme="minorHAnsi"/>
            <w:noProof/>
            <w:webHidden/>
          </w:rPr>
          <w:tab/>
        </w:r>
        <w:r w:rsidR="00446C67" w:rsidRPr="003249D9">
          <w:rPr>
            <w:rFonts w:asciiTheme="minorHAnsi" w:hAnsiTheme="minorHAnsi" w:cstheme="minorHAnsi"/>
            <w:noProof/>
            <w:webHidden/>
          </w:rPr>
          <w:fldChar w:fldCharType="begin"/>
        </w:r>
        <w:r w:rsidR="00BF6ACB" w:rsidRPr="003249D9">
          <w:rPr>
            <w:rFonts w:asciiTheme="minorHAnsi" w:hAnsiTheme="minorHAnsi" w:cstheme="minorHAnsi"/>
            <w:noProof/>
            <w:webHidden/>
          </w:rPr>
          <w:instrText xml:space="preserve"> PAGEREF _Toc403750019 \h </w:instrText>
        </w:r>
        <w:r w:rsidR="00446C67" w:rsidRPr="003249D9">
          <w:rPr>
            <w:rFonts w:asciiTheme="minorHAnsi" w:hAnsiTheme="minorHAnsi" w:cstheme="minorHAnsi"/>
            <w:noProof/>
            <w:webHidden/>
          </w:rPr>
        </w:r>
        <w:r w:rsidR="00446C67" w:rsidRPr="003249D9">
          <w:rPr>
            <w:rFonts w:asciiTheme="minorHAnsi" w:hAnsiTheme="minorHAnsi" w:cstheme="minorHAnsi"/>
            <w:noProof/>
            <w:webHidden/>
          </w:rPr>
          <w:fldChar w:fldCharType="separate"/>
        </w:r>
        <w:r w:rsidR="00BF6ACB" w:rsidRPr="003249D9">
          <w:rPr>
            <w:rFonts w:asciiTheme="minorHAnsi" w:hAnsiTheme="minorHAnsi" w:cstheme="minorHAnsi"/>
            <w:noProof/>
            <w:webHidden/>
          </w:rPr>
          <w:t>14</w:t>
        </w:r>
        <w:r w:rsidR="00446C67" w:rsidRPr="003249D9">
          <w:rPr>
            <w:rFonts w:asciiTheme="minorHAnsi" w:hAnsiTheme="minorHAnsi" w:cstheme="minorHAnsi"/>
            <w:noProof/>
            <w:webHidden/>
          </w:rPr>
          <w:fldChar w:fldCharType="end"/>
        </w:r>
      </w:hyperlink>
    </w:p>
    <w:p w:rsidR="00BF6ACB" w:rsidRPr="003249D9" w:rsidRDefault="002D610B">
      <w:pPr>
        <w:pStyle w:val="TOC3"/>
        <w:rPr>
          <w:rFonts w:asciiTheme="minorHAnsi" w:eastAsiaTheme="minorEastAsia" w:hAnsiTheme="minorHAnsi" w:cstheme="minorHAnsi"/>
          <w:noProof/>
          <w:sz w:val="22"/>
          <w:szCs w:val="22"/>
          <w:lang w:eastAsia="zh-CN" w:bidi="ar-SA"/>
        </w:rPr>
      </w:pPr>
      <w:hyperlink w:anchor="_Toc403750020" w:history="1">
        <w:r w:rsidR="00BF6ACB" w:rsidRPr="003249D9">
          <w:rPr>
            <w:rStyle w:val="Hyperlink"/>
            <w:rFonts w:asciiTheme="minorHAnsi" w:hAnsiTheme="minorHAnsi" w:cstheme="minorHAnsi"/>
            <w:noProof/>
          </w:rPr>
          <w:t>A jelenlegi NPL-ek jelentette helyzetet kiváltó legfőbb okok</w:t>
        </w:r>
        <w:r w:rsidR="00BF6ACB" w:rsidRPr="003249D9">
          <w:rPr>
            <w:rFonts w:asciiTheme="minorHAnsi" w:hAnsiTheme="minorHAnsi" w:cstheme="minorHAnsi"/>
            <w:noProof/>
            <w:webHidden/>
          </w:rPr>
          <w:tab/>
        </w:r>
        <w:r w:rsidR="00446C67" w:rsidRPr="003249D9">
          <w:rPr>
            <w:rFonts w:asciiTheme="minorHAnsi" w:hAnsiTheme="minorHAnsi" w:cstheme="minorHAnsi"/>
            <w:noProof/>
            <w:webHidden/>
          </w:rPr>
          <w:fldChar w:fldCharType="begin"/>
        </w:r>
        <w:r w:rsidR="00BF6ACB" w:rsidRPr="003249D9">
          <w:rPr>
            <w:rFonts w:asciiTheme="minorHAnsi" w:hAnsiTheme="minorHAnsi" w:cstheme="minorHAnsi"/>
            <w:noProof/>
            <w:webHidden/>
          </w:rPr>
          <w:instrText xml:space="preserve"> PAGEREF _Toc403750020 \h </w:instrText>
        </w:r>
        <w:r w:rsidR="00446C67" w:rsidRPr="003249D9">
          <w:rPr>
            <w:rFonts w:asciiTheme="minorHAnsi" w:hAnsiTheme="minorHAnsi" w:cstheme="minorHAnsi"/>
            <w:noProof/>
            <w:webHidden/>
          </w:rPr>
        </w:r>
        <w:r w:rsidR="00446C67" w:rsidRPr="003249D9">
          <w:rPr>
            <w:rFonts w:asciiTheme="minorHAnsi" w:hAnsiTheme="minorHAnsi" w:cstheme="minorHAnsi"/>
            <w:noProof/>
            <w:webHidden/>
          </w:rPr>
          <w:fldChar w:fldCharType="separate"/>
        </w:r>
        <w:r w:rsidR="00BF6ACB" w:rsidRPr="003249D9">
          <w:rPr>
            <w:rFonts w:asciiTheme="minorHAnsi" w:hAnsiTheme="minorHAnsi" w:cstheme="minorHAnsi"/>
            <w:noProof/>
            <w:webHidden/>
          </w:rPr>
          <w:t>15</w:t>
        </w:r>
        <w:r w:rsidR="00446C67" w:rsidRPr="003249D9">
          <w:rPr>
            <w:rFonts w:asciiTheme="minorHAnsi" w:hAnsiTheme="minorHAnsi" w:cstheme="minorHAnsi"/>
            <w:noProof/>
            <w:webHidden/>
          </w:rPr>
          <w:fldChar w:fldCharType="end"/>
        </w:r>
      </w:hyperlink>
    </w:p>
    <w:p w:rsidR="00BF6ACB" w:rsidRPr="003249D9" w:rsidRDefault="002D610B">
      <w:pPr>
        <w:pStyle w:val="TOC3"/>
        <w:rPr>
          <w:rFonts w:asciiTheme="minorHAnsi" w:eastAsiaTheme="minorEastAsia" w:hAnsiTheme="minorHAnsi" w:cstheme="minorHAnsi"/>
          <w:noProof/>
          <w:sz w:val="22"/>
          <w:szCs w:val="22"/>
          <w:lang w:eastAsia="zh-CN" w:bidi="ar-SA"/>
        </w:rPr>
      </w:pPr>
      <w:hyperlink w:anchor="_Toc403750021" w:history="1">
        <w:r w:rsidR="00BF6ACB" w:rsidRPr="003249D9">
          <w:rPr>
            <w:rStyle w:val="Hyperlink"/>
            <w:rFonts w:asciiTheme="minorHAnsi" w:hAnsiTheme="minorHAnsi" w:cstheme="minorHAnsi"/>
            <w:noProof/>
          </w:rPr>
          <w:t>Az NPL-portfoliók kezelésének meghatározó tényezői</w:t>
        </w:r>
        <w:r w:rsidR="00BF6ACB" w:rsidRPr="003249D9">
          <w:rPr>
            <w:rFonts w:asciiTheme="minorHAnsi" w:hAnsiTheme="minorHAnsi" w:cstheme="minorHAnsi"/>
            <w:noProof/>
            <w:webHidden/>
          </w:rPr>
          <w:tab/>
        </w:r>
        <w:r w:rsidR="00446C67" w:rsidRPr="003249D9">
          <w:rPr>
            <w:rFonts w:asciiTheme="minorHAnsi" w:hAnsiTheme="minorHAnsi" w:cstheme="minorHAnsi"/>
            <w:noProof/>
            <w:webHidden/>
          </w:rPr>
          <w:fldChar w:fldCharType="begin"/>
        </w:r>
        <w:r w:rsidR="00BF6ACB" w:rsidRPr="003249D9">
          <w:rPr>
            <w:rFonts w:asciiTheme="minorHAnsi" w:hAnsiTheme="minorHAnsi" w:cstheme="minorHAnsi"/>
            <w:noProof/>
            <w:webHidden/>
          </w:rPr>
          <w:instrText xml:space="preserve"> PAGEREF _Toc403750021 \h </w:instrText>
        </w:r>
        <w:r w:rsidR="00446C67" w:rsidRPr="003249D9">
          <w:rPr>
            <w:rFonts w:asciiTheme="minorHAnsi" w:hAnsiTheme="minorHAnsi" w:cstheme="minorHAnsi"/>
            <w:noProof/>
            <w:webHidden/>
          </w:rPr>
        </w:r>
        <w:r w:rsidR="00446C67" w:rsidRPr="003249D9">
          <w:rPr>
            <w:rFonts w:asciiTheme="minorHAnsi" w:hAnsiTheme="minorHAnsi" w:cstheme="minorHAnsi"/>
            <w:noProof/>
            <w:webHidden/>
          </w:rPr>
          <w:fldChar w:fldCharType="separate"/>
        </w:r>
        <w:r w:rsidR="00BF6ACB" w:rsidRPr="003249D9">
          <w:rPr>
            <w:rFonts w:asciiTheme="minorHAnsi" w:hAnsiTheme="minorHAnsi" w:cstheme="minorHAnsi"/>
            <w:noProof/>
            <w:webHidden/>
          </w:rPr>
          <w:t>20</w:t>
        </w:r>
        <w:r w:rsidR="00446C67" w:rsidRPr="003249D9">
          <w:rPr>
            <w:rFonts w:asciiTheme="minorHAnsi" w:hAnsiTheme="minorHAnsi" w:cstheme="minorHAnsi"/>
            <w:noProof/>
            <w:webHidden/>
          </w:rPr>
          <w:fldChar w:fldCharType="end"/>
        </w:r>
      </w:hyperlink>
    </w:p>
    <w:p w:rsidR="00BF6ACB" w:rsidRPr="003249D9" w:rsidRDefault="002D610B">
      <w:pPr>
        <w:pStyle w:val="TOC3"/>
        <w:rPr>
          <w:rFonts w:asciiTheme="minorHAnsi" w:eastAsiaTheme="minorEastAsia" w:hAnsiTheme="minorHAnsi" w:cstheme="minorHAnsi"/>
          <w:noProof/>
          <w:sz w:val="22"/>
          <w:szCs w:val="22"/>
          <w:lang w:eastAsia="zh-CN" w:bidi="ar-SA"/>
        </w:rPr>
      </w:pPr>
      <w:hyperlink w:anchor="_Toc403750022" w:history="1">
        <w:r w:rsidR="00BF6ACB" w:rsidRPr="003249D9">
          <w:rPr>
            <w:rStyle w:val="Hyperlink"/>
            <w:rFonts w:asciiTheme="minorHAnsi" w:hAnsiTheme="minorHAnsi" w:cstheme="minorHAnsi"/>
            <w:noProof/>
          </w:rPr>
          <w:t>A változás előtt álló legnagyobb akadályok</w:t>
        </w:r>
        <w:r w:rsidR="00BF6ACB" w:rsidRPr="003249D9">
          <w:rPr>
            <w:rFonts w:asciiTheme="minorHAnsi" w:hAnsiTheme="minorHAnsi" w:cstheme="minorHAnsi"/>
            <w:noProof/>
            <w:webHidden/>
          </w:rPr>
          <w:tab/>
        </w:r>
        <w:r w:rsidR="00446C67" w:rsidRPr="003249D9">
          <w:rPr>
            <w:rFonts w:asciiTheme="minorHAnsi" w:hAnsiTheme="minorHAnsi" w:cstheme="minorHAnsi"/>
            <w:noProof/>
            <w:webHidden/>
          </w:rPr>
          <w:fldChar w:fldCharType="begin"/>
        </w:r>
        <w:r w:rsidR="00BF6ACB" w:rsidRPr="003249D9">
          <w:rPr>
            <w:rFonts w:asciiTheme="minorHAnsi" w:hAnsiTheme="minorHAnsi" w:cstheme="minorHAnsi"/>
            <w:noProof/>
            <w:webHidden/>
          </w:rPr>
          <w:instrText xml:space="preserve"> PAGEREF _Toc403750022 \h </w:instrText>
        </w:r>
        <w:r w:rsidR="00446C67" w:rsidRPr="003249D9">
          <w:rPr>
            <w:rFonts w:asciiTheme="minorHAnsi" w:hAnsiTheme="minorHAnsi" w:cstheme="minorHAnsi"/>
            <w:noProof/>
            <w:webHidden/>
          </w:rPr>
        </w:r>
        <w:r w:rsidR="00446C67" w:rsidRPr="003249D9">
          <w:rPr>
            <w:rFonts w:asciiTheme="minorHAnsi" w:hAnsiTheme="minorHAnsi" w:cstheme="minorHAnsi"/>
            <w:noProof/>
            <w:webHidden/>
          </w:rPr>
          <w:fldChar w:fldCharType="separate"/>
        </w:r>
        <w:r w:rsidR="00BF6ACB" w:rsidRPr="003249D9">
          <w:rPr>
            <w:rFonts w:asciiTheme="minorHAnsi" w:hAnsiTheme="minorHAnsi" w:cstheme="minorHAnsi"/>
            <w:noProof/>
            <w:webHidden/>
          </w:rPr>
          <w:t>23</w:t>
        </w:r>
        <w:r w:rsidR="00446C67" w:rsidRPr="003249D9">
          <w:rPr>
            <w:rFonts w:asciiTheme="minorHAnsi" w:hAnsiTheme="minorHAnsi" w:cstheme="minorHAnsi"/>
            <w:noProof/>
            <w:webHidden/>
          </w:rPr>
          <w:fldChar w:fldCharType="end"/>
        </w:r>
      </w:hyperlink>
    </w:p>
    <w:p w:rsidR="00BF6ACB" w:rsidRPr="003249D9" w:rsidRDefault="002D610B">
      <w:pPr>
        <w:pStyle w:val="TOC3"/>
        <w:rPr>
          <w:rFonts w:asciiTheme="minorHAnsi" w:eastAsiaTheme="minorEastAsia" w:hAnsiTheme="minorHAnsi" w:cstheme="minorHAnsi"/>
          <w:noProof/>
          <w:sz w:val="22"/>
          <w:szCs w:val="22"/>
          <w:lang w:eastAsia="zh-CN" w:bidi="ar-SA"/>
        </w:rPr>
      </w:pPr>
      <w:hyperlink w:anchor="_Toc403750023" w:history="1">
        <w:r w:rsidR="00BF6ACB" w:rsidRPr="003249D9">
          <w:rPr>
            <w:rStyle w:val="Hyperlink"/>
            <w:rFonts w:asciiTheme="minorHAnsi" w:hAnsiTheme="minorHAnsi" w:cstheme="minorHAnsi"/>
            <w:noProof/>
          </w:rPr>
          <w:t>Az NPL-ek átruházásának kérdésköre</w:t>
        </w:r>
        <w:r w:rsidR="00BF6ACB" w:rsidRPr="003249D9">
          <w:rPr>
            <w:rFonts w:asciiTheme="minorHAnsi" w:hAnsiTheme="minorHAnsi" w:cstheme="minorHAnsi"/>
            <w:noProof/>
            <w:webHidden/>
          </w:rPr>
          <w:tab/>
        </w:r>
        <w:r w:rsidR="00446C67" w:rsidRPr="003249D9">
          <w:rPr>
            <w:rFonts w:asciiTheme="minorHAnsi" w:hAnsiTheme="minorHAnsi" w:cstheme="minorHAnsi"/>
            <w:noProof/>
            <w:webHidden/>
          </w:rPr>
          <w:fldChar w:fldCharType="begin"/>
        </w:r>
        <w:r w:rsidR="00BF6ACB" w:rsidRPr="003249D9">
          <w:rPr>
            <w:rFonts w:asciiTheme="minorHAnsi" w:hAnsiTheme="minorHAnsi" w:cstheme="minorHAnsi"/>
            <w:noProof/>
            <w:webHidden/>
          </w:rPr>
          <w:instrText xml:space="preserve"> PAGEREF _Toc403750023 \h </w:instrText>
        </w:r>
        <w:r w:rsidR="00446C67" w:rsidRPr="003249D9">
          <w:rPr>
            <w:rFonts w:asciiTheme="minorHAnsi" w:hAnsiTheme="minorHAnsi" w:cstheme="minorHAnsi"/>
            <w:noProof/>
            <w:webHidden/>
          </w:rPr>
        </w:r>
        <w:r w:rsidR="00446C67" w:rsidRPr="003249D9">
          <w:rPr>
            <w:rFonts w:asciiTheme="minorHAnsi" w:hAnsiTheme="minorHAnsi" w:cstheme="minorHAnsi"/>
            <w:noProof/>
            <w:webHidden/>
          </w:rPr>
          <w:fldChar w:fldCharType="separate"/>
        </w:r>
        <w:r w:rsidR="00BF6ACB" w:rsidRPr="003249D9">
          <w:rPr>
            <w:rFonts w:asciiTheme="minorHAnsi" w:hAnsiTheme="minorHAnsi" w:cstheme="minorHAnsi"/>
            <w:noProof/>
            <w:webHidden/>
          </w:rPr>
          <w:t>26</w:t>
        </w:r>
        <w:r w:rsidR="00446C67" w:rsidRPr="003249D9">
          <w:rPr>
            <w:rFonts w:asciiTheme="minorHAnsi" w:hAnsiTheme="minorHAnsi" w:cstheme="minorHAnsi"/>
            <w:noProof/>
            <w:webHidden/>
          </w:rPr>
          <w:fldChar w:fldCharType="end"/>
        </w:r>
      </w:hyperlink>
    </w:p>
    <w:p w:rsidR="00BF6ACB" w:rsidRPr="003249D9" w:rsidRDefault="002D610B">
      <w:pPr>
        <w:pStyle w:val="TOC2"/>
        <w:rPr>
          <w:rFonts w:asciiTheme="minorHAnsi" w:eastAsiaTheme="minorEastAsia" w:hAnsiTheme="minorHAnsi" w:cstheme="minorHAnsi"/>
          <w:b w:val="0"/>
          <w:noProof/>
          <w:color w:val="auto"/>
          <w:sz w:val="22"/>
          <w:szCs w:val="22"/>
          <w:lang w:eastAsia="zh-CN" w:bidi="ar-SA"/>
        </w:rPr>
      </w:pPr>
      <w:hyperlink w:anchor="_Toc403750024" w:history="1">
        <w:r w:rsidR="00BF6ACB" w:rsidRPr="003249D9">
          <w:rPr>
            <w:rStyle w:val="Hyperlink"/>
            <w:rFonts w:asciiTheme="minorHAnsi" w:hAnsiTheme="minorHAnsi" w:cstheme="minorHAnsi"/>
            <w:noProof/>
          </w:rPr>
          <w:t>Adóelemzés</w:t>
        </w:r>
        <w:r w:rsidR="00BF6ACB" w:rsidRPr="003249D9">
          <w:rPr>
            <w:rFonts w:asciiTheme="minorHAnsi" w:hAnsiTheme="minorHAnsi" w:cstheme="minorHAnsi"/>
            <w:noProof/>
            <w:webHidden/>
          </w:rPr>
          <w:tab/>
        </w:r>
        <w:r w:rsidR="00446C67" w:rsidRPr="003249D9">
          <w:rPr>
            <w:rFonts w:asciiTheme="minorHAnsi" w:hAnsiTheme="minorHAnsi" w:cstheme="minorHAnsi"/>
            <w:noProof/>
            <w:webHidden/>
          </w:rPr>
          <w:fldChar w:fldCharType="begin"/>
        </w:r>
        <w:r w:rsidR="00BF6ACB" w:rsidRPr="003249D9">
          <w:rPr>
            <w:rFonts w:asciiTheme="minorHAnsi" w:hAnsiTheme="minorHAnsi" w:cstheme="minorHAnsi"/>
            <w:noProof/>
            <w:webHidden/>
          </w:rPr>
          <w:instrText xml:space="preserve"> PAGEREF _Toc403750024 \h </w:instrText>
        </w:r>
        <w:r w:rsidR="00446C67" w:rsidRPr="003249D9">
          <w:rPr>
            <w:rFonts w:asciiTheme="minorHAnsi" w:hAnsiTheme="minorHAnsi" w:cstheme="minorHAnsi"/>
            <w:noProof/>
            <w:webHidden/>
          </w:rPr>
        </w:r>
        <w:r w:rsidR="00446C67" w:rsidRPr="003249D9">
          <w:rPr>
            <w:rFonts w:asciiTheme="minorHAnsi" w:hAnsiTheme="minorHAnsi" w:cstheme="minorHAnsi"/>
            <w:noProof/>
            <w:webHidden/>
          </w:rPr>
          <w:fldChar w:fldCharType="separate"/>
        </w:r>
        <w:r w:rsidR="00BF6ACB" w:rsidRPr="003249D9">
          <w:rPr>
            <w:rFonts w:asciiTheme="minorHAnsi" w:hAnsiTheme="minorHAnsi" w:cstheme="minorHAnsi"/>
            <w:noProof/>
            <w:webHidden/>
          </w:rPr>
          <w:t>29</w:t>
        </w:r>
        <w:r w:rsidR="00446C67" w:rsidRPr="003249D9">
          <w:rPr>
            <w:rFonts w:asciiTheme="minorHAnsi" w:hAnsiTheme="minorHAnsi" w:cstheme="minorHAnsi"/>
            <w:noProof/>
            <w:webHidden/>
          </w:rPr>
          <w:fldChar w:fldCharType="end"/>
        </w:r>
      </w:hyperlink>
    </w:p>
    <w:p w:rsidR="00BF6ACB" w:rsidRPr="003249D9" w:rsidRDefault="002D610B">
      <w:pPr>
        <w:pStyle w:val="TOC3"/>
        <w:rPr>
          <w:rFonts w:asciiTheme="minorHAnsi" w:eastAsiaTheme="minorEastAsia" w:hAnsiTheme="minorHAnsi" w:cstheme="minorHAnsi"/>
          <w:noProof/>
          <w:sz w:val="22"/>
          <w:szCs w:val="22"/>
          <w:lang w:eastAsia="zh-CN" w:bidi="ar-SA"/>
        </w:rPr>
      </w:pPr>
      <w:hyperlink w:anchor="_Toc403750025" w:history="1">
        <w:r w:rsidR="00BF6ACB" w:rsidRPr="003249D9">
          <w:rPr>
            <w:rStyle w:val="Hyperlink"/>
            <w:rFonts w:asciiTheme="minorHAnsi" w:hAnsiTheme="minorHAnsi" w:cstheme="minorHAnsi"/>
            <w:noProof/>
          </w:rPr>
          <w:t>Adózási megfontolások</w:t>
        </w:r>
        <w:r w:rsidR="00BF6ACB" w:rsidRPr="003249D9">
          <w:rPr>
            <w:rFonts w:asciiTheme="minorHAnsi" w:hAnsiTheme="minorHAnsi" w:cstheme="minorHAnsi"/>
            <w:noProof/>
            <w:webHidden/>
          </w:rPr>
          <w:tab/>
        </w:r>
        <w:r w:rsidR="00446C67" w:rsidRPr="003249D9">
          <w:rPr>
            <w:rFonts w:asciiTheme="minorHAnsi" w:hAnsiTheme="minorHAnsi" w:cstheme="minorHAnsi"/>
            <w:noProof/>
            <w:webHidden/>
          </w:rPr>
          <w:fldChar w:fldCharType="begin"/>
        </w:r>
        <w:r w:rsidR="00BF6ACB" w:rsidRPr="003249D9">
          <w:rPr>
            <w:rFonts w:asciiTheme="minorHAnsi" w:hAnsiTheme="minorHAnsi" w:cstheme="minorHAnsi"/>
            <w:noProof/>
            <w:webHidden/>
          </w:rPr>
          <w:instrText xml:space="preserve"> PAGEREF _Toc403750025 \h </w:instrText>
        </w:r>
        <w:r w:rsidR="00446C67" w:rsidRPr="003249D9">
          <w:rPr>
            <w:rFonts w:asciiTheme="minorHAnsi" w:hAnsiTheme="minorHAnsi" w:cstheme="minorHAnsi"/>
            <w:noProof/>
            <w:webHidden/>
          </w:rPr>
        </w:r>
        <w:r w:rsidR="00446C67" w:rsidRPr="003249D9">
          <w:rPr>
            <w:rFonts w:asciiTheme="minorHAnsi" w:hAnsiTheme="minorHAnsi" w:cstheme="minorHAnsi"/>
            <w:noProof/>
            <w:webHidden/>
          </w:rPr>
          <w:fldChar w:fldCharType="separate"/>
        </w:r>
        <w:r w:rsidR="00BF6ACB" w:rsidRPr="003249D9">
          <w:rPr>
            <w:rFonts w:asciiTheme="minorHAnsi" w:hAnsiTheme="minorHAnsi" w:cstheme="minorHAnsi"/>
            <w:noProof/>
            <w:webHidden/>
          </w:rPr>
          <w:t>30</w:t>
        </w:r>
        <w:r w:rsidR="00446C67" w:rsidRPr="003249D9">
          <w:rPr>
            <w:rFonts w:asciiTheme="minorHAnsi" w:hAnsiTheme="minorHAnsi" w:cstheme="minorHAnsi"/>
            <w:noProof/>
            <w:webHidden/>
          </w:rPr>
          <w:fldChar w:fldCharType="end"/>
        </w:r>
      </w:hyperlink>
    </w:p>
    <w:p w:rsidR="00BF6ACB" w:rsidRPr="003249D9" w:rsidRDefault="002D610B">
      <w:pPr>
        <w:pStyle w:val="TOC2"/>
        <w:rPr>
          <w:rFonts w:asciiTheme="minorHAnsi" w:eastAsiaTheme="minorEastAsia" w:hAnsiTheme="minorHAnsi" w:cstheme="minorHAnsi"/>
          <w:b w:val="0"/>
          <w:noProof/>
          <w:color w:val="auto"/>
          <w:sz w:val="22"/>
          <w:szCs w:val="22"/>
          <w:lang w:eastAsia="zh-CN" w:bidi="ar-SA"/>
        </w:rPr>
      </w:pPr>
      <w:hyperlink w:anchor="_Toc403750026" w:history="1">
        <w:r w:rsidR="00BF6ACB" w:rsidRPr="003249D9">
          <w:rPr>
            <w:rStyle w:val="Hyperlink"/>
            <w:rFonts w:asciiTheme="minorHAnsi" w:hAnsiTheme="minorHAnsi" w:cstheme="minorHAnsi"/>
            <w:noProof/>
          </w:rPr>
          <w:t>Jogi háttér</w:t>
        </w:r>
        <w:r w:rsidR="00BF6ACB" w:rsidRPr="003249D9">
          <w:rPr>
            <w:rFonts w:asciiTheme="minorHAnsi" w:hAnsiTheme="minorHAnsi" w:cstheme="minorHAnsi"/>
            <w:noProof/>
            <w:webHidden/>
          </w:rPr>
          <w:tab/>
        </w:r>
        <w:r w:rsidR="00446C67" w:rsidRPr="003249D9">
          <w:rPr>
            <w:rFonts w:asciiTheme="minorHAnsi" w:hAnsiTheme="minorHAnsi" w:cstheme="minorHAnsi"/>
            <w:noProof/>
            <w:webHidden/>
          </w:rPr>
          <w:fldChar w:fldCharType="begin"/>
        </w:r>
        <w:r w:rsidR="00BF6ACB" w:rsidRPr="003249D9">
          <w:rPr>
            <w:rFonts w:asciiTheme="minorHAnsi" w:hAnsiTheme="minorHAnsi" w:cstheme="minorHAnsi"/>
            <w:noProof/>
            <w:webHidden/>
          </w:rPr>
          <w:instrText xml:space="preserve"> PAGEREF _Toc403750026 \h </w:instrText>
        </w:r>
        <w:r w:rsidR="00446C67" w:rsidRPr="003249D9">
          <w:rPr>
            <w:rFonts w:asciiTheme="minorHAnsi" w:hAnsiTheme="minorHAnsi" w:cstheme="minorHAnsi"/>
            <w:noProof/>
            <w:webHidden/>
          </w:rPr>
        </w:r>
        <w:r w:rsidR="00446C67" w:rsidRPr="003249D9">
          <w:rPr>
            <w:rFonts w:asciiTheme="minorHAnsi" w:hAnsiTheme="minorHAnsi" w:cstheme="minorHAnsi"/>
            <w:noProof/>
            <w:webHidden/>
          </w:rPr>
          <w:fldChar w:fldCharType="separate"/>
        </w:r>
        <w:r w:rsidR="00BF6ACB" w:rsidRPr="003249D9">
          <w:rPr>
            <w:rFonts w:asciiTheme="minorHAnsi" w:hAnsiTheme="minorHAnsi" w:cstheme="minorHAnsi"/>
            <w:noProof/>
            <w:webHidden/>
          </w:rPr>
          <w:t>40</w:t>
        </w:r>
        <w:r w:rsidR="00446C67" w:rsidRPr="003249D9">
          <w:rPr>
            <w:rFonts w:asciiTheme="minorHAnsi" w:hAnsiTheme="minorHAnsi" w:cstheme="minorHAnsi"/>
            <w:noProof/>
            <w:webHidden/>
          </w:rPr>
          <w:fldChar w:fldCharType="end"/>
        </w:r>
      </w:hyperlink>
    </w:p>
    <w:p w:rsidR="00BF6ACB" w:rsidRPr="003249D9" w:rsidRDefault="002D610B">
      <w:pPr>
        <w:pStyle w:val="TOC3"/>
        <w:rPr>
          <w:rFonts w:asciiTheme="minorHAnsi" w:eastAsiaTheme="minorEastAsia" w:hAnsiTheme="minorHAnsi" w:cstheme="minorHAnsi"/>
          <w:noProof/>
          <w:sz w:val="22"/>
          <w:szCs w:val="22"/>
          <w:lang w:eastAsia="zh-CN" w:bidi="ar-SA"/>
        </w:rPr>
      </w:pPr>
      <w:hyperlink w:anchor="_Toc403750027" w:history="1">
        <w:r w:rsidR="00BF6ACB" w:rsidRPr="003249D9">
          <w:rPr>
            <w:rStyle w:val="Hyperlink"/>
            <w:rFonts w:asciiTheme="minorHAnsi" w:hAnsiTheme="minorHAnsi" w:cstheme="minorHAnsi"/>
            <w:noProof/>
          </w:rPr>
          <w:t>Jogi háttér</w:t>
        </w:r>
        <w:r w:rsidR="00BF6ACB" w:rsidRPr="003249D9">
          <w:rPr>
            <w:rFonts w:asciiTheme="minorHAnsi" w:hAnsiTheme="minorHAnsi" w:cstheme="minorHAnsi"/>
            <w:noProof/>
            <w:webHidden/>
          </w:rPr>
          <w:tab/>
        </w:r>
        <w:r w:rsidR="00446C67" w:rsidRPr="003249D9">
          <w:rPr>
            <w:rFonts w:asciiTheme="minorHAnsi" w:hAnsiTheme="minorHAnsi" w:cstheme="minorHAnsi"/>
            <w:noProof/>
            <w:webHidden/>
          </w:rPr>
          <w:fldChar w:fldCharType="begin"/>
        </w:r>
        <w:r w:rsidR="00BF6ACB" w:rsidRPr="003249D9">
          <w:rPr>
            <w:rFonts w:asciiTheme="minorHAnsi" w:hAnsiTheme="minorHAnsi" w:cstheme="minorHAnsi"/>
            <w:noProof/>
            <w:webHidden/>
          </w:rPr>
          <w:instrText xml:space="preserve"> PAGEREF _Toc403750027 \h </w:instrText>
        </w:r>
        <w:r w:rsidR="00446C67" w:rsidRPr="003249D9">
          <w:rPr>
            <w:rFonts w:asciiTheme="minorHAnsi" w:hAnsiTheme="minorHAnsi" w:cstheme="minorHAnsi"/>
            <w:noProof/>
            <w:webHidden/>
          </w:rPr>
        </w:r>
        <w:r w:rsidR="00446C67" w:rsidRPr="003249D9">
          <w:rPr>
            <w:rFonts w:asciiTheme="minorHAnsi" w:hAnsiTheme="minorHAnsi" w:cstheme="minorHAnsi"/>
            <w:noProof/>
            <w:webHidden/>
          </w:rPr>
          <w:fldChar w:fldCharType="separate"/>
        </w:r>
        <w:r w:rsidR="00BF6ACB" w:rsidRPr="003249D9">
          <w:rPr>
            <w:rFonts w:asciiTheme="minorHAnsi" w:hAnsiTheme="minorHAnsi" w:cstheme="minorHAnsi"/>
            <w:noProof/>
            <w:webHidden/>
          </w:rPr>
          <w:t>41</w:t>
        </w:r>
        <w:r w:rsidR="00446C67" w:rsidRPr="003249D9">
          <w:rPr>
            <w:rFonts w:asciiTheme="minorHAnsi" w:hAnsiTheme="minorHAnsi" w:cstheme="minorHAnsi"/>
            <w:noProof/>
            <w:webHidden/>
          </w:rPr>
          <w:fldChar w:fldCharType="end"/>
        </w:r>
      </w:hyperlink>
    </w:p>
    <w:p w:rsidR="00BF6ACB" w:rsidRPr="003249D9" w:rsidRDefault="002D610B">
      <w:pPr>
        <w:pStyle w:val="TOC2"/>
        <w:rPr>
          <w:rFonts w:asciiTheme="minorHAnsi" w:eastAsiaTheme="minorEastAsia" w:hAnsiTheme="minorHAnsi" w:cstheme="minorHAnsi"/>
          <w:b w:val="0"/>
          <w:noProof/>
          <w:color w:val="auto"/>
          <w:sz w:val="22"/>
          <w:szCs w:val="22"/>
          <w:lang w:eastAsia="zh-CN" w:bidi="ar-SA"/>
        </w:rPr>
      </w:pPr>
      <w:hyperlink w:anchor="_Toc403750028" w:history="1">
        <w:r w:rsidR="00BF6ACB" w:rsidRPr="003249D9">
          <w:rPr>
            <w:rStyle w:val="Hyperlink"/>
            <w:rFonts w:asciiTheme="minorHAnsi" w:hAnsiTheme="minorHAnsi" w:cstheme="minorHAnsi"/>
            <w:noProof/>
          </w:rPr>
          <w:t>Gyakorlati jogi problémák és javaslatok</w:t>
        </w:r>
        <w:r w:rsidR="00BF6ACB" w:rsidRPr="003249D9">
          <w:rPr>
            <w:rFonts w:asciiTheme="minorHAnsi" w:hAnsiTheme="minorHAnsi" w:cstheme="minorHAnsi"/>
            <w:noProof/>
            <w:webHidden/>
          </w:rPr>
          <w:tab/>
        </w:r>
        <w:r w:rsidR="00446C67" w:rsidRPr="003249D9">
          <w:rPr>
            <w:rFonts w:asciiTheme="minorHAnsi" w:hAnsiTheme="minorHAnsi" w:cstheme="minorHAnsi"/>
            <w:noProof/>
            <w:webHidden/>
          </w:rPr>
          <w:fldChar w:fldCharType="begin"/>
        </w:r>
        <w:r w:rsidR="00BF6ACB" w:rsidRPr="003249D9">
          <w:rPr>
            <w:rFonts w:asciiTheme="minorHAnsi" w:hAnsiTheme="minorHAnsi" w:cstheme="minorHAnsi"/>
            <w:noProof/>
            <w:webHidden/>
          </w:rPr>
          <w:instrText xml:space="preserve"> PAGEREF _Toc403750028 \h </w:instrText>
        </w:r>
        <w:r w:rsidR="00446C67" w:rsidRPr="003249D9">
          <w:rPr>
            <w:rFonts w:asciiTheme="minorHAnsi" w:hAnsiTheme="minorHAnsi" w:cstheme="minorHAnsi"/>
            <w:noProof/>
            <w:webHidden/>
          </w:rPr>
        </w:r>
        <w:r w:rsidR="00446C67" w:rsidRPr="003249D9">
          <w:rPr>
            <w:rFonts w:asciiTheme="minorHAnsi" w:hAnsiTheme="minorHAnsi" w:cstheme="minorHAnsi"/>
            <w:noProof/>
            <w:webHidden/>
          </w:rPr>
          <w:fldChar w:fldCharType="separate"/>
        </w:r>
        <w:r w:rsidR="00BF6ACB" w:rsidRPr="003249D9">
          <w:rPr>
            <w:rFonts w:asciiTheme="minorHAnsi" w:hAnsiTheme="minorHAnsi" w:cstheme="minorHAnsi"/>
            <w:noProof/>
            <w:webHidden/>
          </w:rPr>
          <w:t>52</w:t>
        </w:r>
        <w:r w:rsidR="00446C67" w:rsidRPr="003249D9">
          <w:rPr>
            <w:rFonts w:asciiTheme="minorHAnsi" w:hAnsiTheme="minorHAnsi" w:cstheme="minorHAnsi"/>
            <w:noProof/>
            <w:webHidden/>
          </w:rPr>
          <w:fldChar w:fldCharType="end"/>
        </w:r>
      </w:hyperlink>
    </w:p>
    <w:p w:rsidR="00BF6ACB" w:rsidRPr="003249D9" w:rsidRDefault="002D610B">
      <w:pPr>
        <w:pStyle w:val="TOC3"/>
        <w:rPr>
          <w:rFonts w:asciiTheme="minorHAnsi" w:eastAsiaTheme="minorEastAsia" w:hAnsiTheme="minorHAnsi" w:cstheme="minorHAnsi"/>
          <w:noProof/>
          <w:sz w:val="22"/>
          <w:szCs w:val="22"/>
          <w:lang w:eastAsia="zh-CN" w:bidi="ar-SA"/>
        </w:rPr>
      </w:pPr>
      <w:hyperlink w:anchor="_Toc403750029" w:history="1">
        <w:r w:rsidR="00BF6ACB" w:rsidRPr="003249D9">
          <w:rPr>
            <w:rStyle w:val="Hyperlink"/>
            <w:rFonts w:asciiTheme="minorHAnsi" w:hAnsiTheme="minorHAnsi" w:cstheme="minorHAnsi"/>
            <w:noProof/>
          </w:rPr>
          <w:t>Fő problémák és potenciális megoldási lehetőségek</w:t>
        </w:r>
        <w:r w:rsidR="00BF6ACB" w:rsidRPr="003249D9">
          <w:rPr>
            <w:rFonts w:asciiTheme="minorHAnsi" w:hAnsiTheme="minorHAnsi" w:cstheme="minorHAnsi"/>
            <w:noProof/>
            <w:webHidden/>
          </w:rPr>
          <w:tab/>
        </w:r>
        <w:r w:rsidR="00446C67" w:rsidRPr="003249D9">
          <w:rPr>
            <w:rFonts w:asciiTheme="minorHAnsi" w:hAnsiTheme="minorHAnsi" w:cstheme="minorHAnsi"/>
            <w:noProof/>
            <w:webHidden/>
          </w:rPr>
          <w:fldChar w:fldCharType="begin"/>
        </w:r>
        <w:r w:rsidR="00BF6ACB" w:rsidRPr="003249D9">
          <w:rPr>
            <w:rFonts w:asciiTheme="minorHAnsi" w:hAnsiTheme="minorHAnsi" w:cstheme="minorHAnsi"/>
            <w:noProof/>
            <w:webHidden/>
          </w:rPr>
          <w:instrText xml:space="preserve"> PAGEREF _Toc403750029 \h </w:instrText>
        </w:r>
        <w:r w:rsidR="00446C67" w:rsidRPr="003249D9">
          <w:rPr>
            <w:rFonts w:asciiTheme="minorHAnsi" w:hAnsiTheme="minorHAnsi" w:cstheme="minorHAnsi"/>
            <w:noProof/>
            <w:webHidden/>
          </w:rPr>
        </w:r>
        <w:r w:rsidR="00446C67" w:rsidRPr="003249D9">
          <w:rPr>
            <w:rFonts w:asciiTheme="minorHAnsi" w:hAnsiTheme="minorHAnsi" w:cstheme="minorHAnsi"/>
            <w:noProof/>
            <w:webHidden/>
          </w:rPr>
          <w:fldChar w:fldCharType="separate"/>
        </w:r>
        <w:r w:rsidR="00BF6ACB" w:rsidRPr="003249D9">
          <w:rPr>
            <w:rFonts w:asciiTheme="minorHAnsi" w:hAnsiTheme="minorHAnsi" w:cstheme="minorHAnsi"/>
            <w:noProof/>
            <w:webHidden/>
          </w:rPr>
          <w:t>53</w:t>
        </w:r>
        <w:r w:rsidR="00446C67" w:rsidRPr="003249D9">
          <w:rPr>
            <w:rFonts w:asciiTheme="minorHAnsi" w:hAnsiTheme="minorHAnsi" w:cstheme="minorHAnsi"/>
            <w:noProof/>
            <w:webHidden/>
          </w:rPr>
          <w:fldChar w:fldCharType="end"/>
        </w:r>
      </w:hyperlink>
    </w:p>
    <w:p w:rsidR="00BF6ACB" w:rsidRPr="003249D9" w:rsidRDefault="002D610B">
      <w:pPr>
        <w:pStyle w:val="TOC2"/>
        <w:rPr>
          <w:rFonts w:asciiTheme="minorHAnsi" w:eastAsiaTheme="minorEastAsia" w:hAnsiTheme="minorHAnsi" w:cstheme="minorHAnsi"/>
          <w:b w:val="0"/>
          <w:noProof/>
          <w:color w:val="auto"/>
          <w:sz w:val="22"/>
          <w:szCs w:val="22"/>
          <w:lang w:eastAsia="zh-CN" w:bidi="ar-SA"/>
        </w:rPr>
      </w:pPr>
      <w:hyperlink w:anchor="_Toc403750030" w:history="1">
        <w:r w:rsidR="00BF6ACB" w:rsidRPr="003249D9">
          <w:rPr>
            <w:rStyle w:val="Hyperlink"/>
            <w:rFonts w:asciiTheme="minorHAnsi" w:hAnsiTheme="minorHAnsi" w:cstheme="minorHAnsi"/>
            <w:noProof/>
          </w:rPr>
          <w:t>Mellékletek</w:t>
        </w:r>
        <w:r w:rsidR="00BF6ACB" w:rsidRPr="003249D9">
          <w:rPr>
            <w:rFonts w:asciiTheme="minorHAnsi" w:hAnsiTheme="minorHAnsi" w:cstheme="minorHAnsi"/>
            <w:noProof/>
            <w:webHidden/>
          </w:rPr>
          <w:tab/>
        </w:r>
        <w:r w:rsidR="00446C67" w:rsidRPr="003249D9">
          <w:rPr>
            <w:rFonts w:asciiTheme="minorHAnsi" w:hAnsiTheme="minorHAnsi" w:cstheme="minorHAnsi"/>
            <w:noProof/>
            <w:webHidden/>
          </w:rPr>
          <w:fldChar w:fldCharType="begin"/>
        </w:r>
        <w:r w:rsidR="00BF6ACB" w:rsidRPr="003249D9">
          <w:rPr>
            <w:rFonts w:asciiTheme="minorHAnsi" w:hAnsiTheme="minorHAnsi" w:cstheme="minorHAnsi"/>
            <w:noProof/>
            <w:webHidden/>
          </w:rPr>
          <w:instrText xml:space="preserve"> PAGEREF _Toc403750030 \h </w:instrText>
        </w:r>
        <w:r w:rsidR="00446C67" w:rsidRPr="003249D9">
          <w:rPr>
            <w:rFonts w:asciiTheme="minorHAnsi" w:hAnsiTheme="minorHAnsi" w:cstheme="minorHAnsi"/>
            <w:noProof/>
            <w:webHidden/>
          </w:rPr>
        </w:r>
        <w:r w:rsidR="00446C67" w:rsidRPr="003249D9">
          <w:rPr>
            <w:rFonts w:asciiTheme="minorHAnsi" w:hAnsiTheme="minorHAnsi" w:cstheme="minorHAnsi"/>
            <w:noProof/>
            <w:webHidden/>
          </w:rPr>
          <w:fldChar w:fldCharType="separate"/>
        </w:r>
        <w:r w:rsidR="00BF6ACB" w:rsidRPr="003249D9">
          <w:rPr>
            <w:rFonts w:asciiTheme="minorHAnsi" w:hAnsiTheme="minorHAnsi" w:cstheme="minorHAnsi"/>
            <w:noProof/>
            <w:webHidden/>
          </w:rPr>
          <w:t>79</w:t>
        </w:r>
        <w:r w:rsidR="00446C67" w:rsidRPr="003249D9">
          <w:rPr>
            <w:rFonts w:asciiTheme="minorHAnsi" w:hAnsiTheme="minorHAnsi" w:cstheme="minorHAnsi"/>
            <w:noProof/>
            <w:webHidden/>
          </w:rPr>
          <w:fldChar w:fldCharType="end"/>
        </w:r>
      </w:hyperlink>
    </w:p>
    <w:p w:rsidR="00BF6ACB" w:rsidRPr="003249D9" w:rsidRDefault="002D610B">
      <w:pPr>
        <w:pStyle w:val="TOC3"/>
        <w:rPr>
          <w:rFonts w:asciiTheme="minorHAnsi" w:eastAsiaTheme="minorEastAsia" w:hAnsiTheme="minorHAnsi" w:cstheme="minorHAnsi"/>
          <w:noProof/>
          <w:sz w:val="22"/>
          <w:szCs w:val="22"/>
          <w:lang w:eastAsia="zh-CN" w:bidi="ar-SA"/>
        </w:rPr>
      </w:pPr>
      <w:hyperlink w:anchor="_Toc403750031" w:history="1">
        <w:r w:rsidR="00BF6ACB" w:rsidRPr="003249D9">
          <w:rPr>
            <w:rStyle w:val="Hyperlink"/>
            <w:rFonts w:asciiTheme="minorHAnsi" w:hAnsiTheme="minorHAnsi" w:cstheme="minorHAnsi"/>
            <w:noProof/>
          </w:rPr>
          <w:t>A melléklet</w:t>
        </w:r>
        <w:r w:rsidR="00BF6ACB" w:rsidRPr="003249D9">
          <w:rPr>
            <w:rFonts w:asciiTheme="minorHAnsi" w:hAnsiTheme="minorHAnsi" w:cstheme="minorHAnsi"/>
            <w:noProof/>
            <w:webHidden/>
          </w:rPr>
          <w:tab/>
        </w:r>
        <w:r w:rsidR="00446C67" w:rsidRPr="003249D9">
          <w:rPr>
            <w:rFonts w:asciiTheme="minorHAnsi" w:hAnsiTheme="minorHAnsi" w:cstheme="minorHAnsi"/>
            <w:noProof/>
            <w:webHidden/>
          </w:rPr>
          <w:fldChar w:fldCharType="begin"/>
        </w:r>
        <w:r w:rsidR="00BF6ACB" w:rsidRPr="003249D9">
          <w:rPr>
            <w:rFonts w:asciiTheme="minorHAnsi" w:hAnsiTheme="minorHAnsi" w:cstheme="minorHAnsi"/>
            <w:noProof/>
            <w:webHidden/>
          </w:rPr>
          <w:instrText xml:space="preserve"> PAGEREF _Toc403750031 \h </w:instrText>
        </w:r>
        <w:r w:rsidR="00446C67" w:rsidRPr="003249D9">
          <w:rPr>
            <w:rFonts w:asciiTheme="minorHAnsi" w:hAnsiTheme="minorHAnsi" w:cstheme="minorHAnsi"/>
            <w:noProof/>
            <w:webHidden/>
          </w:rPr>
        </w:r>
        <w:r w:rsidR="00446C67" w:rsidRPr="003249D9">
          <w:rPr>
            <w:rFonts w:asciiTheme="minorHAnsi" w:hAnsiTheme="minorHAnsi" w:cstheme="minorHAnsi"/>
            <w:noProof/>
            <w:webHidden/>
          </w:rPr>
          <w:fldChar w:fldCharType="separate"/>
        </w:r>
        <w:r w:rsidR="00BF6ACB" w:rsidRPr="003249D9">
          <w:rPr>
            <w:rFonts w:asciiTheme="minorHAnsi" w:hAnsiTheme="minorHAnsi" w:cstheme="minorHAnsi"/>
            <w:noProof/>
            <w:webHidden/>
          </w:rPr>
          <w:t>80</w:t>
        </w:r>
        <w:r w:rsidR="00446C67" w:rsidRPr="003249D9">
          <w:rPr>
            <w:rFonts w:asciiTheme="minorHAnsi" w:hAnsiTheme="minorHAnsi" w:cstheme="minorHAnsi"/>
            <w:noProof/>
            <w:webHidden/>
          </w:rPr>
          <w:fldChar w:fldCharType="end"/>
        </w:r>
      </w:hyperlink>
    </w:p>
    <w:p w:rsidR="00BF6ACB" w:rsidRPr="003249D9" w:rsidRDefault="002D610B">
      <w:pPr>
        <w:pStyle w:val="TOC3"/>
        <w:rPr>
          <w:rFonts w:asciiTheme="minorHAnsi" w:eastAsiaTheme="minorEastAsia" w:hAnsiTheme="minorHAnsi" w:cstheme="minorHAnsi"/>
          <w:noProof/>
          <w:sz w:val="22"/>
          <w:szCs w:val="22"/>
          <w:lang w:eastAsia="zh-CN" w:bidi="ar-SA"/>
        </w:rPr>
      </w:pPr>
      <w:hyperlink w:anchor="_Toc403750032" w:history="1">
        <w:r w:rsidR="00BF6ACB" w:rsidRPr="003249D9">
          <w:rPr>
            <w:rStyle w:val="Hyperlink"/>
            <w:rFonts w:asciiTheme="minorHAnsi" w:hAnsiTheme="minorHAnsi" w:cstheme="minorHAnsi"/>
            <w:noProof/>
          </w:rPr>
          <w:t>B melléklet</w:t>
        </w:r>
        <w:r w:rsidR="00BF6ACB" w:rsidRPr="003249D9">
          <w:rPr>
            <w:rFonts w:asciiTheme="minorHAnsi" w:hAnsiTheme="minorHAnsi" w:cstheme="minorHAnsi"/>
            <w:noProof/>
            <w:webHidden/>
          </w:rPr>
          <w:tab/>
        </w:r>
        <w:r w:rsidR="00446C67" w:rsidRPr="003249D9">
          <w:rPr>
            <w:rFonts w:asciiTheme="minorHAnsi" w:hAnsiTheme="minorHAnsi" w:cstheme="minorHAnsi"/>
            <w:noProof/>
            <w:webHidden/>
          </w:rPr>
          <w:fldChar w:fldCharType="begin"/>
        </w:r>
        <w:r w:rsidR="00BF6ACB" w:rsidRPr="003249D9">
          <w:rPr>
            <w:rFonts w:asciiTheme="minorHAnsi" w:hAnsiTheme="minorHAnsi" w:cstheme="minorHAnsi"/>
            <w:noProof/>
            <w:webHidden/>
          </w:rPr>
          <w:instrText xml:space="preserve"> PAGEREF _Toc403750032 \h </w:instrText>
        </w:r>
        <w:r w:rsidR="00446C67" w:rsidRPr="003249D9">
          <w:rPr>
            <w:rFonts w:asciiTheme="minorHAnsi" w:hAnsiTheme="minorHAnsi" w:cstheme="minorHAnsi"/>
            <w:noProof/>
            <w:webHidden/>
          </w:rPr>
        </w:r>
        <w:r w:rsidR="00446C67" w:rsidRPr="003249D9">
          <w:rPr>
            <w:rFonts w:asciiTheme="minorHAnsi" w:hAnsiTheme="minorHAnsi" w:cstheme="minorHAnsi"/>
            <w:noProof/>
            <w:webHidden/>
          </w:rPr>
          <w:fldChar w:fldCharType="separate"/>
        </w:r>
        <w:r w:rsidR="00BF6ACB" w:rsidRPr="003249D9">
          <w:rPr>
            <w:rFonts w:asciiTheme="minorHAnsi" w:hAnsiTheme="minorHAnsi" w:cstheme="minorHAnsi"/>
            <w:noProof/>
            <w:webHidden/>
          </w:rPr>
          <w:t>81</w:t>
        </w:r>
        <w:r w:rsidR="00446C67" w:rsidRPr="003249D9">
          <w:rPr>
            <w:rFonts w:asciiTheme="minorHAnsi" w:hAnsiTheme="minorHAnsi" w:cstheme="minorHAnsi"/>
            <w:noProof/>
            <w:webHidden/>
          </w:rPr>
          <w:fldChar w:fldCharType="end"/>
        </w:r>
      </w:hyperlink>
    </w:p>
    <w:p w:rsidR="00BF6ACB" w:rsidRPr="003249D9" w:rsidRDefault="002D610B">
      <w:pPr>
        <w:pStyle w:val="TOC3"/>
        <w:rPr>
          <w:rFonts w:asciiTheme="minorHAnsi" w:eastAsiaTheme="minorEastAsia" w:hAnsiTheme="minorHAnsi" w:cstheme="minorHAnsi"/>
          <w:noProof/>
          <w:sz w:val="22"/>
          <w:szCs w:val="22"/>
          <w:lang w:eastAsia="zh-CN" w:bidi="ar-SA"/>
        </w:rPr>
      </w:pPr>
      <w:hyperlink w:anchor="_Toc403750033" w:history="1">
        <w:r w:rsidR="00BF6ACB" w:rsidRPr="003249D9">
          <w:rPr>
            <w:rStyle w:val="Hyperlink"/>
            <w:rFonts w:asciiTheme="minorHAnsi" w:hAnsiTheme="minorHAnsi" w:cstheme="minorHAnsi"/>
            <w:noProof/>
          </w:rPr>
          <w:t>C melléklet</w:t>
        </w:r>
        <w:r w:rsidR="00BF6ACB" w:rsidRPr="003249D9">
          <w:rPr>
            <w:rFonts w:asciiTheme="minorHAnsi" w:hAnsiTheme="minorHAnsi" w:cstheme="minorHAnsi"/>
            <w:noProof/>
            <w:webHidden/>
          </w:rPr>
          <w:tab/>
        </w:r>
        <w:r w:rsidR="00446C67" w:rsidRPr="003249D9">
          <w:rPr>
            <w:rFonts w:asciiTheme="minorHAnsi" w:hAnsiTheme="minorHAnsi" w:cstheme="minorHAnsi"/>
            <w:noProof/>
            <w:webHidden/>
          </w:rPr>
          <w:fldChar w:fldCharType="begin"/>
        </w:r>
        <w:r w:rsidR="00BF6ACB" w:rsidRPr="003249D9">
          <w:rPr>
            <w:rFonts w:asciiTheme="minorHAnsi" w:hAnsiTheme="minorHAnsi" w:cstheme="minorHAnsi"/>
            <w:noProof/>
            <w:webHidden/>
          </w:rPr>
          <w:instrText xml:space="preserve"> PAGEREF _Toc403750033 \h </w:instrText>
        </w:r>
        <w:r w:rsidR="00446C67" w:rsidRPr="003249D9">
          <w:rPr>
            <w:rFonts w:asciiTheme="minorHAnsi" w:hAnsiTheme="minorHAnsi" w:cstheme="minorHAnsi"/>
            <w:noProof/>
            <w:webHidden/>
          </w:rPr>
        </w:r>
        <w:r w:rsidR="00446C67" w:rsidRPr="003249D9">
          <w:rPr>
            <w:rFonts w:asciiTheme="minorHAnsi" w:hAnsiTheme="minorHAnsi" w:cstheme="minorHAnsi"/>
            <w:noProof/>
            <w:webHidden/>
          </w:rPr>
          <w:fldChar w:fldCharType="separate"/>
        </w:r>
        <w:r w:rsidR="00BF6ACB" w:rsidRPr="003249D9">
          <w:rPr>
            <w:rFonts w:asciiTheme="minorHAnsi" w:hAnsiTheme="minorHAnsi" w:cstheme="minorHAnsi"/>
            <w:noProof/>
            <w:webHidden/>
          </w:rPr>
          <w:t>82</w:t>
        </w:r>
        <w:r w:rsidR="00446C67" w:rsidRPr="003249D9">
          <w:rPr>
            <w:rFonts w:asciiTheme="minorHAnsi" w:hAnsiTheme="minorHAnsi" w:cstheme="minorHAnsi"/>
            <w:noProof/>
            <w:webHidden/>
          </w:rPr>
          <w:fldChar w:fldCharType="end"/>
        </w:r>
      </w:hyperlink>
    </w:p>
    <w:p w:rsidR="00BF6ACB" w:rsidRPr="003249D9" w:rsidRDefault="00D53915">
      <w:pPr>
        <w:pStyle w:val="TOC3"/>
        <w:rPr>
          <w:rFonts w:asciiTheme="minorHAnsi" w:eastAsiaTheme="minorEastAsia" w:hAnsiTheme="minorHAnsi" w:cstheme="minorHAnsi"/>
          <w:noProof/>
          <w:sz w:val="22"/>
          <w:szCs w:val="22"/>
          <w:lang w:eastAsia="zh-CN" w:bidi="ar-SA"/>
        </w:rPr>
      </w:pPr>
      <w:r w:rsidRPr="00D53915">
        <w:rPr>
          <w:rStyle w:val="Hyperlink"/>
          <w:rFonts w:asciiTheme="minorHAnsi" w:hAnsiTheme="minorHAnsi" w:cstheme="minorHAnsi"/>
          <w:noProof/>
          <w:color w:val="auto"/>
          <w:u w:val="none"/>
        </w:rPr>
        <w:t xml:space="preserve">D </w:t>
      </w:r>
      <w:hyperlink w:anchor="_Toc403750034" w:history="1">
        <w:r>
          <w:rPr>
            <w:rStyle w:val="Hyperlink"/>
            <w:rFonts w:asciiTheme="minorHAnsi" w:hAnsiTheme="minorHAnsi" w:cstheme="minorHAnsi"/>
            <w:noProof/>
          </w:rPr>
          <w:t>Melléklet</w:t>
        </w:r>
        <w:r w:rsidR="00BF6ACB" w:rsidRPr="003249D9">
          <w:rPr>
            <w:rFonts w:asciiTheme="minorHAnsi" w:hAnsiTheme="minorHAnsi" w:cstheme="minorHAnsi"/>
            <w:noProof/>
            <w:webHidden/>
          </w:rPr>
          <w:tab/>
        </w:r>
        <w:r w:rsidR="00446C67" w:rsidRPr="003249D9">
          <w:rPr>
            <w:rFonts w:asciiTheme="minorHAnsi" w:hAnsiTheme="minorHAnsi" w:cstheme="minorHAnsi"/>
            <w:noProof/>
            <w:webHidden/>
          </w:rPr>
          <w:fldChar w:fldCharType="begin"/>
        </w:r>
        <w:r w:rsidR="00BF6ACB" w:rsidRPr="003249D9">
          <w:rPr>
            <w:rFonts w:asciiTheme="minorHAnsi" w:hAnsiTheme="minorHAnsi" w:cstheme="minorHAnsi"/>
            <w:noProof/>
            <w:webHidden/>
          </w:rPr>
          <w:instrText xml:space="preserve"> PAGEREF _Toc403750034 \h </w:instrText>
        </w:r>
        <w:r w:rsidR="00446C67" w:rsidRPr="003249D9">
          <w:rPr>
            <w:rFonts w:asciiTheme="minorHAnsi" w:hAnsiTheme="minorHAnsi" w:cstheme="minorHAnsi"/>
            <w:noProof/>
            <w:webHidden/>
          </w:rPr>
        </w:r>
        <w:r w:rsidR="00446C67" w:rsidRPr="003249D9">
          <w:rPr>
            <w:rFonts w:asciiTheme="minorHAnsi" w:hAnsiTheme="minorHAnsi" w:cstheme="minorHAnsi"/>
            <w:noProof/>
            <w:webHidden/>
          </w:rPr>
          <w:fldChar w:fldCharType="separate"/>
        </w:r>
        <w:r w:rsidR="00BF6ACB" w:rsidRPr="003249D9">
          <w:rPr>
            <w:rFonts w:asciiTheme="minorHAnsi" w:hAnsiTheme="minorHAnsi" w:cstheme="minorHAnsi"/>
            <w:noProof/>
            <w:webHidden/>
          </w:rPr>
          <w:t>83</w:t>
        </w:r>
        <w:r w:rsidR="00446C67" w:rsidRPr="003249D9">
          <w:rPr>
            <w:rFonts w:asciiTheme="minorHAnsi" w:hAnsiTheme="minorHAnsi" w:cstheme="minorHAnsi"/>
            <w:noProof/>
            <w:webHidden/>
          </w:rPr>
          <w:fldChar w:fldCharType="end"/>
        </w:r>
      </w:hyperlink>
    </w:p>
    <w:p w:rsidR="00BF6ACB" w:rsidRPr="003249D9" w:rsidRDefault="00D53915">
      <w:pPr>
        <w:pStyle w:val="TOC3"/>
        <w:rPr>
          <w:rFonts w:asciiTheme="minorHAnsi" w:eastAsiaTheme="minorEastAsia" w:hAnsiTheme="minorHAnsi" w:cstheme="minorHAnsi"/>
          <w:noProof/>
          <w:sz w:val="22"/>
          <w:szCs w:val="22"/>
          <w:lang w:eastAsia="zh-CN" w:bidi="ar-SA"/>
        </w:rPr>
      </w:pPr>
      <w:r w:rsidRPr="00D53915">
        <w:rPr>
          <w:rStyle w:val="Hyperlink"/>
          <w:rFonts w:asciiTheme="minorHAnsi" w:hAnsiTheme="minorHAnsi" w:cstheme="minorHAnsi"/>
          <w:noProof/>
          <w:color w:val="auto"/>
          <w:u w:val="none"/>
        </w:rPr>
        <w:t>E</w:t>
      </w:r>
      <w:r w:rsidRPr="00D53915">
        <w:rPr>
          <w:rStyle w:val="Hyperlink"/>
          <w:rFonts w:asciiTheme="minorHAnsi" w:hAnsiTheme="minorHAnsi" w:cstheme="minorHAnsi"/>
          <w:noProof/>
          <w:u w:val="none"/>
        </w:rPr>
        <w:t xml:space="preserve"> </w:t>
      </w:r>
      <w:hyperlink w:anchor="_Toc403750035" w:history="1">
        <w:r>
          <w:rPr>
            <w:rStyle w:val="Hyperlink"/>
            <w:rFonts w:asciiTheme="minorHAnsi" w:hAnsiTheme="minorHAnsi" w:cstheme="minorHAnsi"/>
            <w:noProof/>
          </w:rPr>
          <w:t>Melléklet</w:t>
        </w:r>
        <w:r w:rsidR="00BF6ACB" w:rsidRPr="003249D9">
          <w:rPr>
            <w:rFonts w:asciiTheme="minorHAnsi" w:hAnsiTheme="minorHAnsi" w:cstheme="minorHAnsi"/>
            <w:noProof/>
            <w:webHidden/>
          </w:rPr>
          <w:tab/>
        </w:r>
        <w:r w:rsidR="00446C67" w:rsidRPr="003249D9">
          <w:rPr>
            <w:rFonts w:asciiTheme="minorHAnsi" w:hAnsiTheme="minorHAnsi" w:cstheme="minorHAnsi"/>
            <w:noProof/>
            <w:webHidden/>
          </w:rPr>
          <w:fldChar w:fldCharType="begin"/>
        </w:r>
        <w:r w:rsidR="00BF6ACB" w:rsidRPr="003249D9">
          <w:rPr>
            <w:rFonts w:asciiTheme="minorHAnsi" w:hAnsiTheme="minorHAnsi" w:cstheme="minorHAnsi"/>
            <w:noProof/>
            <w:webHidden/>
          </w:rPr>
          <w:instrText xml:space="preserve"> PAGEREF _Toc403750035 \h </w:instrText>
        </w:r>
        <w:r w:rsidR="00446C67" w:rsidRPr="003249D9">
          <w:rPr>
            <w:rFonts w:asciiTheme="minorHAnsi" w:hAnsiTheme="minorHAnsi" w:cstheme="minorHAnsi"/>
            <w:noProof/>
            <w:webHidden/>
          </w:rPr>
        </w:r>
        <w:r w:rsidR="00446C67" w:rsidRPr="003249D9">
          <w:rPr>
            <w:rFonts w:asciiTheme="minorHAnsi" w:hAnsiTheme="minorHAnsi" w:cstheme="minorHAnsi"/>
            <w:noProof/>
            <w:webHidden/>
          </w:rPr>
          <w:fldChar w:fldCharType="separate"/>
        </w:r>
        <w:r w:rsidR="00BF6ACB" w:rsidRPr="003249D9">
          <w:rPr>
            <w:rFonts w:asciiTheme="minorHAnsi" w:hAnsiTheme="minorHAnsi" w:cstheme="minorHAnsi"/>
            <w:noProof/>
            <w:webHidden/>
          </w:rPr>
          <w:t>85</w:t>
        </w:r>
        <w:r w:rsidR="00446C67" w:rsidRPr="003249D9">
          <w:rPr>
            <w:rFonts w:asciiTheme="minorHAnsi" w:hAnsiTheme="minorHAnsi" w:cstheme="minorHAnsi"/>
            <w:noProof/>
            <w:webHidden/>
          </w:rPr>
          <w:fldChar w:fldCharType="end"/>
        </w:r>
      </w:hyperlink>
    </w:p>
    <w:p w:rsidR="00AB7CFF" w:rsidRPr="003249D9" w:rsidRDefault="00446C67">
      <w:pPr>
        <w:pStyle w:val="TOC2"/>
        <w:rPr>
          <w:rFonts w:asciiTheme="minorHAnsi" w:eastAsiaTheme="minorEastAsia" w:hAnsiTheme="minorHAnsi" w:cstheme="minorBidi"/>
          <w:b w:val="0"/>
          <w:noProof/>
          <w:color w:val="auto"/>
          <w:sz w:val="22"/>
          <w:szCs w:val="22"/>
        </w:rPr>
      </w:pPr>
      <w:r w:rsidRPr="003249D9">
        <w:rPr>
          <w:rFonts w:asciiTheme="minorHAnsi" w:hAnsiTheme="minorHAnsi" w:cstheme="minorHAnsi"/>
          <w:b w:val="0"/>
          <w:sz w:val="20"/>
          <w:szCs w:val="24"/>
        </w:rPr>
        <w:fldChar w:fldCharType="end"/>
      </w: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sectPr w:rsidR="00BF6ACB" w:rsidRPr="003249D9" w:rsidSect="00BF6ACB">
          <w:headerReference w:type="even" r:id="rId20"/>
          <w:headerReference w:type="default" r:id="rId21"/>
          <w:footerReference w:type="even" r:id="rId22"/>
          <w:footerReference w:type="default" r:id="rId23"/>
          <w:headerReference w:type="first" r:id="rId24"/>
          <w:footerReference w:type="first" r:id="rId25"/>
          <w:pgSz w:w="11907" w:h="16839" w:code="9"/>
          <w:pgMar w:top="2304" w:right="792" w:bottom="1022" w:left="792" w:header="605" w:footer="706" w:gutter="0"/>
          <w:pgNumType w:fmt="lowerRoman"/>
          <w:cols w:space="720"/>
          <w:docGrid w:linePitch="360"/>
        </w:sectPr>
      </w:pPr>
    </w:p>
    <w:p w:rsidR="00BF6ACB" w:rsidRPr="003249D9" w:rsidRDefault="00AB7CFF" w:rsidP="00BF6ACB">
      <w:pPr>
        <w:pStyle w:val="TASSectiontitle"/>
        <w:framePr w:wrap="around"/>
        <w:rPr>
          <w:rFonts w:asciiTheme="minorHAnsi" w:hAnsiTheme="minorHAnsi"/>
        </w:rPr>
      </w:pPr>
      <w:bookmarkStart w:id="1" w:name="_Toc401154912"/>
      <w:bookmarkStart w:id="2" w:name="_Toc403750016"/>
      <w:r w:rsidRPr="003249D9">
        <w:rPr>
          <w:rFonts w:asciiTheme="minorHAnsi" w:hAnsiTheme="minorHAnsi"/>
        </w:rPr>
        <w:lastRenderedPageBreak/>
        <w:t>Vezetői összefoglaló</w:t>
      </w:r>
      <w:bookmarkEnd w:id="1"/>
      <w:bookmarkEnd w:id="2"/>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sdt>
      <w:sdtPr>
        <w:rPr>
          <w:rFonts w:asciiTheme="minorHAnsi" w:hAnsiTheme="minorHAnsi"/>
        </w:rPr>
        <w:alias w:val="TAS Subsection TOC"/>
        <w:tag w:val="TASSubsectionTOC"/>
        <w:id w:val="318032719"/>
      </w:sdtPr>
      <w:sdtContent>
        <w:p w:rsidR="00BF6ACB" w:rsidRPr="003249D9" w:rsidRDefault="00392068" w:rsidP="009A73FD">
          <w:pPr>
            <w:pStyle w:val="TASTOC3"/>
            <w:numPr>
              <w:ilvl w:val="0"/>
              <w:numId w:val="15"/>
            </w:numPr>
            <w:rPr>
              <w:rFonts w:asciiTheme="minorHAnsi" w:hAnsiTheme="minorHAnsi"/>
            </w:rPr>
          </w:pPr>
          <w:r>
            <w:rPr>
              <w:rFonts w:asciiTheme="minorHAnsi" w:hAnsiTheme="minorHAnsi"/>
            </w:rPr>
            <w:t>Vezetői összefoglaló</w:t>
          </w:r>
        </w:p>
      </w:sdtContent>
    </w:sdt>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39472B" w:rsidRPr="003249D9" w:rsidRDefault="0039472B">
      <w:pPr>
        <w:spacing w:after="200"/>
        <w:rPr>
          <w:rFonts w:asciiTheme="minorHAnsi" w:eastAsia="MS Mincho" w:hAnsiTheme="minorHAnsi" w:cs="Times New Roman"/>
          <w:sz w:val="24"/>
          <w:szCs w:val="24"/>
        </w:rPr>
      </w:pPr>
      <w:r w:rsidRPr="003249D9">
        <w:br w:type="page"/>
      </w:r>
    </w:p>
    <w:p w:rsidR="001B29F9" w:rsidRPr="009F5A4E" w:rsidRDefault="001B29F9" w:rsidP="001B29F9">
      <w:r w:rsidRPr="009F5A4E">
        <w:lastRenderedPageBreak/>
        <w:t xml:space="preserve">Hivatkozással az Önök kérésére, hogy az Európai Újjáépítési és Fejlesztési Bank (EBRD) nyújtson támogatást a jelenlegi magyarországi végrehajtási, vállalati hitel </w:t>
      </w:r>
      <w:proofErr w:type="spellStart"/>
      <w:r w:rsidRPr="009F5A4E">
        <w:t>restrukturálási</w:t>
      </w:r>
      <w:proofErr w:type="spellEnd"/>
      <w:r w:rsidRPr="009F5A4E">
        <w:t xml:space="preserve"> és felszámolási jogi környezet elemzésében azzal a céllal, hogy a </w:t>
      </w:r>
      <w:proofErr w:type="spellStart"/>
      <w:r w:rsidRPr="009F5A4E">
        <w:t>nemteljesítő</w:t>
      </w:r>
      <w:proofErr w:type="spellEnd"/>
      <w:r w:rsidRPr="009F5A4E">
        <w:t xml:space="preserve"> hitel (NPL) állományának magas szintje csökkenthető </w:t>
      </w:r>
      <w:proofErr w:type="gramStart"/>
      <w:r w:rsidRPr="009F5A4E">
        <w:t>legyen</w:t>
      </w:r>
      <w:proofErr w:type="gramEnd"/>
      <w:r w:rsidRPr="009F5A4E">
        <w:t xml:space="preserve"> és ezzel hozzájárulhassunk a Magyar Nemzeti Bank (MNB) által már megkezdett munkához,az alábbiakban összefoglaltuk a főbb észrevételeinket.  </w:t>
      </w:r>
    </w:p>
    <w:p w:rsidR="001B29F9" w:rsidRPr="009F5A4E" w:rsidRDefault="001B29F9" w:rsidP="001B29F9">
      <w:r w:rsidRPr="009F5A4E">
        <w:t xml:space="preserve">A mellékelt jelentést az EBRD útmutatásának megfelelően készítette el a bank pénzügyi tanácsadója az Ernst and Young (EY), és jogi tanácsadója a </w:t>
      </w:r>
      <w:proofErr w:type="spellStart"/>
      <w:r w:rsidRPr="009F5A4E">
        <w:t>Réczicza</w:t>
      </w:r>
      <w:proofErr w:type="spellEnd"/>
      <w:r w:rsidRPr="009F5A4E">
        <w:t xml:space="preserve"> White &amp; </w:t>
      </w:r>
      <w:proofErr w:type="spellStart"/>
      <w:r w:rsidRPr="009F5A4E">
        <w:t>Case</w:t>
      </w:r>
      <w:proofErr w:type="spellEnd"/>
      <w:r w:rsidRPr="009F5A4E">
        <w:t xml:space="preserve"> LLP (White &amp; </w:t>
      </w:r>
      <w:proofErr w:type="spellStart"/>
      <w:r w:rsidRPr="009F5A4E">
        <w:t>Case</w:t>
      </w:r>
      <w:proofErr w:type="spellEnd"/>
      <w:r w:rsidRPr="009F5A4E">
        <w:t xml:space="preserve">) az érintettek széles körétől érkező inputok felhasználásával. A jelentés a főbb problémákat emeli ki, melyek megoldása szükséges, hogy Magyarországon javulhasson a jelenlegi jogi, szabályozói és adózási környezet a </w:t>
      </w:r>
      <w:proofErr w:type="spellStart"/>
      <w:r w:rsidRPr="009F5A4E">
        <w:t>nemteljesítő</w:t>
      </w:r>
      <w:proofErr w:type="spellEnd"/>
      <w:r w:rsidRPr="009F5A4E">
        <w:t xml:space="preserve"> hitelek (NPL) problémájának rendezése érdekében. A jelentés a vállalati NPL probléma rendezésére koncentrál.</w:t>
      </w:r>
    </w:p>
    <w:p w:rsidR="001B29F9" w:rsidRPr="009F5A4E" w:rsidRDefault="001B29F9" w:rsidP="001B29F9">
      <w:r w:rsidRPr="009F5A4E">
        <w:t xml:space="preserve">Az EY és White &amp; </w:t>
      </w:r>
      <w:proofErr w:type="spellStart"/>
      <w:r w:rsidRPr="009F5A4E">
        <w:t>Case</w:t>
      </w:r>
      <w:proofErr w:type="spellEnd"/>
      <w:r w:rsidRPr="009F5A4E">
        <w:t xml:space="preserve"> által tartott konzultációkon több olyan akadály is azonosításra került a magyar jogi, szabályozói és adózási környezetben, amely hátráltatja az NPL problémájának rendezését. Ezek többek között az NPL másodpiaci átruházására vonatkozó korlátozások és a bankok közötti együttműködés hiánya a több hitelező részvételével történő </w:t>
      </w:r>
      <w:proofErr w:type="spellStart"/>
      <w:r w:rsidRPr="009F5A4E">
        <w:t>restrukturálások</w:t>
      </w:r>
      <w:proofErr w:type="spellEnd"/>
      <w:r w:rsidRPr="009F5A4E">
        <w:t xml:space="preserve"> esetén. A White &amp; </w:t>
      </w:r>
      <w:proofErr w:type="spellStart"/>
      <w:r w:rsidRPr="009F5A4E">
        <w:t>Case</w:t>
      </w:r>
      <w:proofErr w:type="spellEnd"/>
      <w:r w:rsidRPr="009F5A4E">
        <w:t xml:space="preserve"> több jogi problémát is azonosított, mint például: a gyenge hitelezői kontroll a fizetésképtelenségi eljárások esetében; kisebb mértékben ugyan, de a végrehajtások esetében is; a bírói kontroll gyengesége és nem eléggé körültekintő volta a fizetésképtelenségi ügyek fontos aspektusaiban; a felszámolói kötelezettségek gyenge volta; illetve az adósok tulajdonába tartozó vagyon/eszközök vizsgálatának és azok esetleges behajtásának gyengesége; valamint a sikeres reorganizáció lehetőségének hiánya csődeljárás esetén. Ezen felül az EY számos, a </w:t>
      </w:r>
      <w:proofErr w:type="spellStart"/>
      <w:r w:rsidRPr="009F5A4E">
        <w:t>restrukturálást</w:t>
      </w:r>
      <w:proofErr w:type="spellEnd"/>
      <w:r w:rsidRPr="009F5A4E">
        <w:t>, a nem teljesítő hitelek elengedését, illetve fedezetérvényesítést gátló adó akadályt is megnevezett. A jelentés ezeknek a problémáknak a megoldására tesz javaslatokat:</w:t>
      </w:r>
    </w:p>
    <w:p w:rsidR="001B29F9" w:rsidRPr="009F5A4E" w:rsidRDefault="001B29F9" w:rsidP="009A73FD">
      <w:pPr>
        <w:pStyle w:val="ListParagraph"/>
        <w:numPr>
          <w:ilvl w:val="0"/>
          <w:numId w:val="69"/>
        </w:numPr>
        <w:spacing w:after="150"/>
        <w:contextualSpacing w:val="0"/>
        <w:jc w:val="both"/>
      </w:pPr>
      <w:r w:rsidRPr="009F5A4E">
        <w:rPr>
          <w:b/>
        </w:rPr>
        <w:t>Az NPL átruházása:</w:t>
      </w:r>
      <w:r w:rsidRPr="009F5A4E">
        <w:t xml:space="preserve"> A nem teljesítő hitelek átruházásához kapcsolódóan egyszerűbbé kell tenni a másodlagos piacra történő belépést, hogy a befektetők szélesebb körének legyen lehetősége nem teljesítő hitelek vásárlására, illetve a piacon való megjelenésre. A banki portfoliók értékesítésének előmozdítása érdekében érdemes lenne megfontolni adózási ösztönzők bevezetését. A végrehajtásra és a fizetésképtelenségi eljárásokra vonatkozó szabályozási keretek fejlesztése (melyekre a javaslataink alább kerülnek kifejtésre) növelik majd a befektetők étvágyát.</w:t>
      </w:r>
    </w:p>
    <w:p w:rsidR="001B29F9" w:rsidRPr="009F5A4E" w:rsidRDefault="001B29F9" w:rsidP="009A73FD">
      <w:pPr>
        <w:pStyle w:val="ListParagraph"/>
        <w:numPr>
          <w:ilvl w:val="0"/>
          <w:numId w:val="69"/>
        </w:numPr>
        <w:spacing w:after="150"/>
        <w:contextualSpacing w:val="0"/>
        <w:jc w:val="both"/>
      </w:pPr>
      <w:r w:rsidRPr="009F5A4E">
        <w:rPr>
          <w:b/>
        </w:rPr>
        <w:t xml:space="preserve">Erősebb együttműködés a bankok között a nem teljesítő hitelek arányának csökkentése érdekében: </w:t>
      </w:r>
      <w:r w:rsidRPr="009F5A4E">
        <w:t xml:space="preserve">A bankok és az üzleti élet szereplőinek körében a </w:t>
      </w:r>
      <w:r w:rsidRPr="009F5A4E">
        <w:rPr>
          <w:b/>
        </w:rPr>
        <w:t xml:space="preserve">nem teljesítő hitelek </w:t>
      </w:r>
      <w:r w:rsidRPr="009F5A4E">
        <w:t xml:space="preserve">korai és hatékony kezelésének érdekében a bíróságon kívüli </w:t>
      </w:r>
      <w:proofErr w:type="spellStart"/>
      <w:r w:rsidRPr="009F5A4E">
        <w:t>restrukturálásokat</w:t>
      </w:r>
      <w:proofErr w:type="spellEnd"/>
      <w:r w:rsidRPr="009F5A4E">
        <w:t xml:space="preserve"> kell ösztönözni, mert </w:t>
      </w:r>
      <w:proofErr w:type="gramStart"/>
      <w:r w:rsidRPr="009F5A4E">
        <w:t>ezáltal</w:t>
      </w:r>
      <w:proofErr w:type="gramEnd"/>
      <w:r w:rsidRPr="009F5A4E">
        <w:t xml:space="preserve"> elkerülhető a fizetésképtelenségi eljárások értékromboló hatása. A több hitelező részvételével történő </w:t>
      </w:r>
      <w:proofErr w:type="spellStart"/>
      <w:r w:rsidRPr="009F5A4E">
        <w:t>restrukturálásokkal</w:t>
      </w:r>
      <w:proofErr w:type="spellEnd"/>
      <w:r w:rsidRPr="009F5A4E">
        <w:t xml:space="preserve"> kapcsolatos „Budapesti Elveket” felül kell vizsgálni, s ott, ahol szükséges módosítani kell a magyar helyzetnek megfelelően. Az MNB-nek, illetve a Magyar bankok közösségének kellene ezen elvek fő támogatójává válnia</w:t>
      </w:r>
    </w:p>
    <w:p w:rsidR="001B29F9" w:rsidRPr="009F5A4E" w:rsidRDefault="001B29F9" w:rsidP="009A73FD">
      <w:pPr>
        <w:pStyle w:val="ListParagraph"/>
        <w:numPr>
          <w:ilvl w:val="0"/>
          <w:numId w:val="69"/>
        </w:numPr>
        <w:spacing w:after="150"/>
        <w:contextualSpacing w:val="0"/>
        <w:jc w:val="both"/>
        <w:rPr>
          <w:b/>
        </w:rPr>
      </w:pPr>
      <w:r w:rsidRPr="009F5A4E">
        <w:rPr>
          <w:b/>
        </w:rPr>
        <w:t xml:space="preserve">Erősebb hitelezői jogkörök a nem teljesítő hitelek problémájának megoldása érdekében: </w:t>
      </w:r>
      <w:r w:rsidRPr="009F5A4E">
        <w:t xml:space="preserve">Erősebb jogkört kellene biztosítani a hitelezőknek a végrehajtó által lebonyolított végrehajtási eljárásokban, valamint a fizetésképtelenségi eljárásokban (csődeljárás és felszámolás esetében egyaránt), annak érdekében, hogy képesek legyenek befolyásolni az eljárások kimenetelét, illetve aktívabban és hatékonyabban tudják kezelni a </w:t>
      </w:r>
      <w:proofErr w:type="spellStart"/>
      <w:r w:rsidRPr="009F5A4E">
        <w:t>nemteljesítő</w:t>
      </w:r>
      <w:proofErr w:type="spellEnd"/>
      <w:r w:rsidRPr="009F5A4E">
        <w:t xml:space="preserve"> hiteleket. A végrehajtás során a hitelezőknek nagyobb beleszólást kell adni a végrehajtók kiválasztásába és kinevezésébe, </w:t>
      </w:r>
      <w:r w:rsidRPr="009F5A4E">
        <w:lastRenderedPageBreak/>
        <w:t xml:space="preserve">valamit nagyobb hozzáférést kell kapniuk az adóssal, annak vagyontárgyaival, illetve az eljárás aktuális állapotával kapcsolatos információkhoz. A csődeljárásban a hitelezőknek is lehetőséget kellene adni a csődeljárás megindítására, illetve arra, hogy az adós által </w:t>
      </w:r>
      <w:proofErr w:type="gramStart"/>
      <w:r w:rsidRPr="009F5A4E">
        <w:t xml:space="preserve">készített  </w:t>
      </w:r>
      <w:proofErr w:type="spellStart"/>
      <w:r w:rsidRPr="009F5A4E">
        <w:t>restrukturálási</w:t>
      </w:r>
      <w:proofErr w:type="spellEnd"/>
      <w:proofErr w:type="gramEnd"/>
      <w:r w:rsidRPr="009F5A4E">
        <w:t xml:space="preserve"> tervvel kapcsolatban észrevételeket tegyenek vagy készítsenek egy másik tervet. Felszámoláskor a hitelezők (különösen a biztosított hitelezők) sokat profitálhatnának abból, ha ők </w:t>
      </w:r>
      <w:proofErr w:type="gramStart"/>
      <w:r w:rsidRPr="009F5A4E">
        <w:t>engedélyeztethetnék</w:t>
      </w:r>
      <w:proofErr w:type="gramEnd"/>
      <w:r w:rsidRPr="009F5A4E">
        <w:t xml:space="preserve"> az egyes eszközök értékesítését vagy jobban meghatározhatnák annak folyamatát. Csődeljárás és felszámolás alatt egyaránt figyelembe kellene venni a hitelezők álláspontját a vagyonfelügyelő, illetve a felszámoló kijelölésével és javadalmazásával kapcsolatban egyaránt biztosítandó a magas színvonalú teljesítményt és szakmai elszámoltathatóságot.</w:t>
      </w:r>
    </w:p>
    <w:p w:rsidR="001B29F9" w:rsidRPr="009F5A4E" w:rsidRDefault="001B29F9" w:rsidP="009A73FD">
      <w:pPr>
        <w:pStyle w:val="ListParagraph"/>
        <w:numPr>
          <w:ilvl w:val="0"/>
          <w:numId w:val="69"/>
        </w:numPr>
        <w:spacing w:after="150"/>
        <w:contextualSpacing w:val="0"/>
        <w:jc w:val="both"/>
        <w:rPr>
          <w:b/>
        </w:rPr>
      </w:pPr>
      <w:r w:rsidRPr="009F5A4E">
        <w:rPr>
          <w:b/>
        </w:rPr>
        <w:t xml:space="preserve">A fizetésképtelenségi szakértők részére erősebb jogosultságok biztosítása a </w:t>
      </w:r>
      <w:proofErr w:type="spellStart"/>
      <w:r w:rsidRPr="009F5A4E">
        <w:rPr>
          <w:b/>
        </w:rPr>
        <w:t>nemteljesítő</w:t>
      </w:r>
      <w:proofErr w:type="spellEnd"/>
      <w:r w:rsidRPr="009F5A4E">
        <w:rPr>
          <w:b/>
        </w:rPr>
        <w:t xml:space="preserve"> hitelek megtérülésének maximalizálása érdekében: </w:t>
      </w:r>
      <w:r w:rsidRPr="009F5A4E">
        <w:t xml:space="preserve">A felszámolók vizsgálati jogosultságait és kötelességeit meg kellene erősíteni valamint megfelelő eszközöket és ösztönzőket kellene nyújtani számukra az adós vagyontárgyainak értékesítése során, ezáltal biztosítva a nem teljesítő hiteleken elérhető maximális megtérülést a hitelezők számára. Egy részletesebb szabályozás és a felszámolók tevékenységének szorosabb ellenőrzése tovább javíthatja a felszámolók teljesítményét és erősítheti érintettek </w:t>
      </w:r>
      <w:proofErr w:type="gramStart"/>
      <w:r w:rsidRPr="009F5A4E">
        <w:t>érdekeit</w:t>
      </w:r>
      <w:proofErr w:type="gramEnd"/>
      <w:r w:rsidRPr="009F5A4E">
        <w:t xml:space="preserve"> védelmét.</w:t>
      </w:r>
    </w:p>
    <w:p w:rsidR="001B29F9" w:rsidRPr="009F5A4E" w:rsidRDefault="001B29F9" w:rsidP="009A73FD">
      <w:pPr>
        <w:pStyle w:val="ListParagraph"/>
        <w:numPr>
          <w:ilvl w:val="0"/>
          <w:numId w:val="69"/>
        </w:numPr>
        <w:spacing w:after="150"/>
        <w:contextualSpacing w:val="0"/>
        <w:jc w:val="both"/>
        <w:rPr>
          <w:b/>
        </w:rPr>
      </w:pPr>
      <w:r w:rsidRPr="009F5A4E">
        <w:rPr>
          <w:b/>
        </w:rPr>
        <w:t xml:space="preserve">Hatékony csődeljárás a nem teljesítő hitelek </w:t>
      </w:r>
      <w:proofErr w:type="spellStart"/>
      <w:r w:rsidRPr="009F5A4E">
        <w:rPr>
          <w:b/>
        </w:rPr>
        <w:t>restrukturálási</w:t>
      </w:r>
      <w:proofErr w:type="spellEnd"/>
      <w:r w:rsidRPr="009F5A4E">
        <w:rPr>
          <w:b/>
        </w:rPr>
        <w:t xml:space="preserve"> lehetőségeinek fejlesztése céljából: </w:t>
      </w:r>
      <w:r w:rsidRPr="009F5A4E">
        <w:t xml:space="preserve">Az adósokat kötelezni kellene arra, hogy a csődkérelemmel egyidejűleg rendelkezzenek átfogó és életképes </w:t>
      </w:r>
      <w:proofErr w:type="spellStart"/>
      <w:r w:rsidRPr="009F5A4E">
        <w:t>restrukturálási</w:t>
      </w:r>
      <w:proofErr w:type="spellEnd"/>
      <w:r w:rsidRPr="009F5A4E">
        <w:t xml:space="preserve"> tervvel, már a csődeljárás kezdetekor. Megfontolandó lehet egy gyorsított eljárás lehetőségének kialakítása azon adósok számára, akik reorganizációs tervükhöz megszerzik a hitelezők többségének támogatását a csődeljárás megkezdése előtt. A csődeljárás során nagyobb hangsúlyt kell kapnia a követelések fejében az adós társaságban történő részesedésszerzésnek a hátrányos adó ösztönzők és a tulajdonosi vétó eltörlése révén. Bizonyos körülmények között a hitelezők is kapjanak lehetőséget arra, hogy csődeljárást kezdeményezhessenek. Ezek az intézkedések előmozdíthatnák a </w:t>
      </w:r>
      <w:proofErr w:type="spellStart"/>
      <w:r w:rsidRPr="009F5A4E">
        <w:t>nemteljesítő</w:t>
      </w:r>
      <w:proofErr w:type="spellEnd"/>
      <w:r w:rsidRPr="009F5A4E">
        <w:t xml:space="preserve"> hitelek sikeres átstrukturálását a csődeljárások során.</w:t>
      </w:r>
    </w:p>
    <w:p w:rsidR="001B29F9" w:rsidRPr="009F5A4E" w:rsidRDefault="001B29F9" w:rsidP="009A73FD">
      <w:pPr>
        <w:pStyle w:val="ListParagraph"/>
        <w:numPr>
          <w:ilvl w:val="0"/>
          <w:numId w:val="69"/>
        </w:numPr>
        <w:spacing w:after="150"/>
        <w:contextualSpacing w:val="0"/>
        <w:jc w:val="both"/>
        <w:rPr>
          <w:b/>
        </w:rPr>
      </w:pPr>
      <w:r w:rsidRPr="009F5A4E">
        <w:rPr>
          <w:b/>
        </w:rPr>
        <w:t xml:space="preserve">A kedvezőtlen adózási szabályok megszüntetése és adó ösztönzők bevezetése a nem teljesítő hitelek rendezése érdekében: </w:t>
      </w:r>
      <w:r w:rsidRPr="009F5A4E">
        <w:t xml:space="preserve">A magyar adórendszer több olyan szabályozást is tartalmaz, amely nehézséget jelent a nem teljesítő hitelek rendezésekor. Többek között az Adóhivatal csak 100%-os adókövetelés megtérülést fogad el, ami blokkolhatja az adósságrendezési törekvéseket mind a bíróságon kívül, mind a bírósági </w:t>
      </w:r>
      <w:proofErr w:type="spellStart"/>
      <w:r w:rsidRPr="009F5A4E">
        <w:t>restrukturálásban</w:t>
      </w:r>
      <w:proofErr w:type="spellEnd"/>
      <w:r w:rsidRPr="009F5A4E">
        <w:t>. Az nem teljesítő hitelek teljes vagy részleges elengedése addicionális adóterhet jelent az adósnak, az ingatlan megszerzése által (fedezetérvényesítés) pedig illetékfizetési kötelezettsége keletkezik a banknak. A vonatkozó adózási jogszabály</w:t>
      </w:r>
      <w:r w:rsidR="00392068">
        <w:t xml:space="preserve">okat meg kell változtatni, </w:t>
      </w:r>
      <w:proofErr w:type="gramStart"/>
      <w:r w:rsidR="00392068">
        <w:t>ezen</w:t>
      </w:r>
      <w:proofErr w:type="gramEnd"/>
      <w:r w:rsidRPr="009F5A4E">
        <w:t xml:space="preserve"> nehézségek megszüntetése érdekében. Ezen felül adózási ösztönzőket kellene bevezetni, hogy a bankok motiváltak legyenek a portfoliójuk megtisztítására, pl.: tegyék lehetővé, hogy a bank csökkenthesse </w:t>
      </w:r>
      <w:r w:rsidR="00392068">
        <w:t>bankadó-</w:t>
      </w:r>
      <w:r w:rsidRPr="009F5A4E">
        <w:t>fizetési kötelezettségét akkor, ha a bank eladja vagy leírja a nem teljesítő hitelállományának egy részét.</w:t>
      </w:r>
    </w:p>
    <w:p w:rsidR="001B29F9" w:rsidRPr="009F5A4E" w:rsidRDefault="001B29F9" w:rsidP="009A73FD">
      <w:pPr>
        <w:pStyle w:val="ListParagraph"/>
        <w:numPr>
          <w:ilvl w:val="0"/>
          <w:numId w:val="69"/>
        </w:numPr>
        <w:spacing w:after="150"/>
        <w:contextualSpacing w:val="0"/>
        <w:jc w:val="both"/>
        <w:rPr>
          <w:b/>
        </w:rPr>
      </w:pPr>
      <w:r w:rsidRPr="009F5A4E">
        <w:rPr>
          <w:b/>
        </w:rPr>
        <w:t xml:space="preserve">Erősebb bírósági jogszabályi keretrendszer a nem teljesítő hitelek problémájának megoldására: </w:t>
      </w:r>
      <w:r w:rsidRPr="009F5A4E">
        <w:t xml:space="preserve">A bírói kartovábbképzése és specializálása a végrehajtással és a fizetésképtelenséggel kapcsolatos ügyek esetében nagymértékben hozzájárulna a </w:t>
      </w:r>
      <w:r w:rsidRPr="009F5A4E">
        <w:rPr>
          <w:b/>
        </w:rPr>
        <w:t xml:space="preserve">nem teljesítő </w:t>
      </w:r>
      <w:r w:rsidRPr="009F5A4E">
        <w:rPr>
          <w:b/>
        </w:rPr>
        <w:lastRenderedPageBreak/>
        <w:t>hitelek</w:t>
      </w:r>
      <w:r w:rsidRPr="009F5A4E">
        <w:t xml:space="preserve"> rendezésével kapcsolatos jogi keretrendszer fejlődéséhez a bíróságokon keresztül. A bíróknak nagyobb szerepet kellene biztosítani a fizetésképtelenségi eljárásokkal kapcsolatos </w:t>
      </w:r>
      <w:proofErr w:type="gramStart"/>
      <w:r w:rsidRPr="009F5A4E">
        <w:t>ügyletek  vizsgálata</w:t>
      </w:r>
      <w:proofErr w:type="gramEnd"/>
      <w:r w:rsidRPr="009F5A4E">
        <w:t xml:space="preserve"> során és abban, hogy a hitelezők követeléseit mind tartalmilag, mind jogalapjukat tekintve alaposabban meg tudják vizsgálni, valamint, hogy a reorganizációs tervek helytállóságát és tényleges tartalmát is meg tudják vizsgálni (ehhez szakértő segítségét is igénybe véve). Megfontolandó lehet a fizetésképtelenséggel kapcsolatos szervezeti egység létrehozása a bíróságokon belül.</w:t>
      </w:r>
    </w:p>
    <w:p w:rsidR="001B29F9" w:rsidRPr="009F5A4E" w:rsidRDefault="001B29F9" w:rsidP="001B29F9">
      <w:pPr>
        <w:ind w:left="360"/>
      </w:pPr>
      <w:r w:rsidRPr="009F5A4E">
        <w:t>Az EBRD javasolja, hogy az elkövetkező hónapokban a jelentésben megfogalmazott ajánlásokat az MNB ossza meg a kormányzattal és más érintettekkel, hogy egy reform ütemterv kerülhessen ez alapján kialakításra. Az MNB-nek javasolt konzultálnia az alábbi érintettekkel (a felsorolt érintettek köre nem kizárólagos):</w:t>
      </w:r>
    </w:p>
    <w:p w:rsidR="001B29F9" w:rsidRPr="009F5A4E" w:rsidRDefault="001B29F9" w:rsidP="009A73FD">
      <w:pPr>
        <w:pStyle w:val="ListParagraph"/>
        <w:numPr>
          <w:ilvl w:val="0"/>
          <w:numId w:val="70"/>
        </w:numPr>
        <w:spacing w:after="150"/>
        <w:contextualSpacing w:val="0"/>
        <w:jc w:val="both"/>
      </w:pPr>
      <w:r w:rsidRPr="009F5A4E">
        <w:t>Csődeljárással és felszámolással kapcsolatos témák: Igazságügyi Minisztérium, Nemzetgazdasági Minisztérium;</w:t>
      </w:r>
    </w:p>
    <w:p w:rsidR="001B29F9" w:rsidRPr="009F5A4E" w:rsidRDefault="001B29F9" w:rsidP="009A73FD">
      <w:pPr>
        <w:pStyle w:val="ListParagraph"/>
        <w:numPr>
          <w:ilvl w:val="0"/>
          <w:numId w:val="70"/>
        </w:numPr>
        <w:spacing w:after="150"/>
        <w:contextualSpacing w:val="0"/>
        <w:jc w:val="both"/>
      </w:pPr>
      <w:r w:rsidRPr="009F5A4E">
        <w:t>Bankokkal kapcsolatos témák (</w:t>
      </w:r>
      <w:proofErr w:type="gramStart"/>
      <w:r w:rsidRPr="009F5A4E">
        <w:t>úgy</w:t>
      </w:r>
      <w:proofErr w:type="gramEnd"/>
      <w:r w:rsidRPr="009F5A4E">
        <w:t xml:space="preserve"> mint a </w:t>
      </w:r>
      <w:proofErr w:type="spellStart"/>
      <w:r w:rsidRPr="009F5A4E">
        <w:t>restrukturálási</w:t>
      </w:r>
      <w:proofErr w:type="spellEnd"/>
      <w:r w:rsidRPr="009F5A4E">
        <w:t xml:space="preserve"> elvek): Bankszövetség;</w:t>
      </w:r>
    </w:p>
    <w:p w:rsidR="001B29F9" w:rsidRPr="009F5A4E" w:rsidRDefault="001B29F9" w:rsidP="009A73FD">
      <w:pPr>
        <w:pStyle w:val="ListParagraph"/>
        <w:numPr>
          <w:ilvl w:val="0"/>
          <w:numId w:val="70"/>
        </w:numPr>
        <w:spacing w:after="150"/>
        <w:contextualSpacing w:val="0"/>
        <w:jc w:val="both"/>
      </w:pPr>
      <w:r w:rsidRPr="009F5A4E">
        <w:t>Bírósági kapacitásokkal kapcsolatos témák: Igazságügyi Minisztérium, Országos Bírósági Hivatal;</w:t>
      </w:r>
    </w:p>
    <w:p w:rsidR="001B29F9" w:rsidRPr="009F5A4E" w:rsidRDefault="001B29F9" w:rsidP="009A73FD">
      <w:pPr>
        <w:pStyle w:val="ListParagraph"/>
        <w:numPr>
          <w:ilvl w:val="0"/>
          <w:numId w:val="70"/>
        </w:numPr>
        <w:spacing w:after="150"/>
        <w:contextualSpacing w:val="0"/>
        <w:jc w:val="both"/>
      </w:pPr>
      <w:r w:rsidRPr="009F5A4E">
        <w:t>Adózással kapcsolatos témák: Nemzetgazdasági Minisztérium;</w:t>
      </w:r>
    </w:p>
    <w:p w:rsidR="001B29F9" w:rsidRPr="009F5A4E" w:rsidRDefault="001B29F9" w:rsidP="009A73FD">
      <w:pPr>
        <w:pStyle w:val="ListParagraph"/>
        <w:numPr>
          <w:ilvl w:val="0"/>
          <w:numId w:val="70"/>
        </w:numPr>
        <w:spacing w:after="150"/>
        <w:contextualSpacing w:val="0"/>
        <w:jc w:val="both"/>
      </w:pPr>
      <w:r w:rsidRPr="009F5A4E">
        <w:t>Végrehajtókkal és fizetésképtelenségi szakértőkkel kapcsolatos témák:</w:t>
      </w:r>
      <w:r w:rsidRPr="009F5A4E">
        <w:rPr>
          <w:bCs/>
        </w:rPr>
        <w:t xml:space="preserve"> Felszámolók és Vagyonfelügyelők Országos Egyesülete, Magyar Bírósági Végrehajtói Kamara.</w:t>
      </w:r>
    </w:p>
    <w:p w:rsidR="001B29F9" w:rsidRDefault="001B29F9" w:rsidP="001B29F9">
      <w:pPr>
        <w:jc w:val="center"/>
        <w:rPr>
          <w:sz w:val="32"/>
          <w:szCs w:val="32"/>
        </w:rPr>
      </w:pPr>
    </w:p>
    <w:p w:rsidR="001B29F9" w:rsidRDefault="004057CC" w:rsidP="001B29F9">
      <w:r>
        <w:rPr>
          <w:noProof/>
          <w:lang w:bidi="ar-SA"/>
        </w:rPr>
        <mc:AlternateContent>
          <mc:Choice Requires="wps">
            <w:drawing>
              <wp:anchor distT="0" distB="0" distL="114300" distR="114300" simplePos="0" relativeHeight="251725824" behindDoc="0" locked="0" layoutInCell="1" allowOverlap="1" wp14:anchorId="56E8D7C4" wp14:editId="3DAA5431">
                <wp:simplePos x="0" y="0"/>
                <wp:positionH relativeFrom="column">
                  <wp:posOffset>2026285</wp:posOffset>
                </wp:positionH>
                <wp:positionV relativeFrom="paragraph">
                  <wp:posOffset>292100</wp:posOffset>
                </wp:positionV>
                <wp:extent cx="1008380" cy="815340"/>
                <wp:effectExtent l="0" t="0" r="1270" b="3810"/>
                <wp:wrapNone/>
                <wp:docPr id="191"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8380" cy="815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10B" w:rsidRDefault="002D610B" w:rsidP="001B29F9">
                            <w:r>
                              <w:t>Közepes hatás rövid végrehajtási időszakkal.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zövegdoboz 2" o:spid="_x0000_s1026" type="#_x0000_t202" style="position:absolute;margin-left:159.55pt;margin-top:23pt;width:79.4pt;height:64.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" stroked="f">
                <v:textbox>
                  <w:txbxContent>
                    <w:p w:rsidR="002D610B" w:rsidRDefault="002D610B" w:rsidP="001B29F9">
                      <w:r>
                        <w:t>Közepes hatás rövid végrehajtási időszakkal.</w:t>
                      </w:r>
                    </w:p>
                  </w:txbxContent>
                </v:textbox>
              </v:shape>
            </w:pict>
          </mc:Fallback>
        </mc:AlternateContent>
      </w:r>
      <w:r>
        <w:rPr>
          <w:noProof/>
          <w:lang w:bidi="ar-SA"/>
        </w:rPr>
        <mc:AlternateContent>
          <mc:Choice Requires="wps">
            <w:drawing>
              <wp:anchor distT="0" distB="0" distL="114300" distR="114300" simplePos="0" relativeHeight="251721728" behindDoc="0" locked="0" layoutInCell="1" allowOverlap="1" wp14:anchorId="4A6CBB69" wp14:editId="485E7C4B">
                <wp:simplePos x="0" y="0"/>
                <wp:positionH relativeFrom="column">
                  <wp:posOffset>372745</wp:posOffset>
                </wp:positionH>
                <wp:positionV relativeFrom="paragraph">
                  <wp:posOffset>278765</wp:posOffset>
                </wp:positionV>
                <wp:extent cx="1042035" cy="816610"/>
                <wp:effectExtent l="0" t="0" r="5715" b="2540"/>
                <wp:wrapNone/>
                <wp:docPr id="190"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816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10B" w:rsidRDefault="002D610B" w:rsidP="001B29F9">
                            <w:r>
                              <w:t>Jelentős hatás rövid végrehajtási időszakkal.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9.35pt;margin-top:21.95pt;width:82.05pt;height:64.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" stroked="f">
                <v:textbox>
                  <w:txbxContent>
                    <w:p w:rsidR="002D610B" w:rsidRDefault="002D610B" w:rsidP="001B29F9">
                      <w:r>
                        <w:t>Jelentős hatás rövid végrehajtási időszakkal.</w:t>
                      </w:r>
                    </w:p>
                  </w:txbxContent>
                </v:textbox>
              </v:shape>
            </w:pict>
          </mc:Fallback>
        </mc:AlternateContent>
      </w:r>
      <w:r>
        <w:rPr>
          <w:noProof/>
          <w:lang w:bidi="ar-SA"/>
        </w:rPr>
        <mc:AlternateContent>
          <mc:Choice Requires="wps">
            <w:drawing>
              <wp:anchor distT="0" distB="0" distL="114300" distR="114300" simplePos="0" relativeHeight="251726848" behindDoc="0" locked="0" layoutInCell="1" allowOverlap="1" wp14:anchorId="6BD31838" wp14:editId="1C55076B">
                <wp:simplePos x="0" y="0"/>
                <wp:positionH relativeFrom="column">
                  <wp:posOffset>3640455</wp:posOffset>
                </wp:positionH>
                <wp:positionV relativeFrom="paragraph">
                  <wp:posOffset>278765</wp:posOffset>
                </wp:positionV>
                <wp:extent cx="984250" cy="875665"/>
                <wp:effectExtent l="0" t="0" r="6350" b="635"/>
                <wp:wrapNone/>
                <wp:docPr id="189"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875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10B" w:rsidRDefault="002D610B" w:rsidP="001B29F9">
                            <w:r>
                              <w:t>Jelentős hatás középtávú végrehajtási időszakkal.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86.65pt;margin-top:21.95pt;width:77.5pt;height:68.9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" stroked="f">
                <v:textbox>
                  <w:txbxContent>
                    <w:p w:rsidR="002D610B" w:rsidRDefault="002D610B" w:rsidP="001B29F9">
                      <w:r>
                        <w:t>Jelentős hatás középtávú végrehajtási időszakkal.</w:t>
                      </w:r>
                    </w:p>
                  </w:txbxContent>
                </v:textbox>
              </v:shape>
            </w:pict>
          </mc:Fallback>
        </mc:AlternateContent>
      </w:r>
      <w:r>
        <w:rPr>
          <w:noProof/>
          <w:lang w:bidi="ar-SA"/>
        </w:rPr>
        <mc:AlternateContent>
          <mc:Choice Requires="wps">
            <w:drawing>
              <wp:anchor distT="0" distB="0" distL="114300" distR="114300" simplePos="0" relativeHeight="251727872" behindDoc="0" locked="0" layoutInCell="1" allowOverlap="1" wp14:anchorId="050A5D14" wp14:editId="79A18D7F">
                <wp:simplePos x="0" y="0"/>
                <wp:positionH relativeFrom="column">
                  <wp:posOffset>5310505</wp:posOffset>
                </wp:positionH>
                <wp:positionV relativeFrom="paragraph">
                  <wp:posOffset>278765</wp:posOffset>
                </wp:positionV>
                <wp:extent cx="984250" cy="875665"/>
                <wp:effectExtent l="0" t="0" r="6350" b="635"/>
                <wp:wrapNone/>
                <wp:docPr id="188"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875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10B" w:rsidRDefault="002D610B" w:rsidP="001B29F9">
                            <w:r>
                              <w:t>Közepes hatás középtávú végrehajtási időszakkal.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18.15pt;margin-top:21.95pt;width:77.5pt;height:68.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" stroked="f">
                <v:textbox>
                  <w:txbxContent>
                    <w:p w:rsidR="002D610B" w:rsidRDefault="002D610B" w:rsidP="001B29F9">
                      <w:r>
                        <w:t>Közepes hatás középtávú végrehajtási időszakkal.</w:t>
                      </w:r>
                    </w:p>
                  </w:txbxContent>
                </v:textbox>
              </v:shape>
            </w:pict>
          </mc:Fallback>
        </mc:AlternateContent>
      </w:r>
      <w:r w:rsidR="001B29F9">
        <w:t>Jelmagyarázat</w:t>
      </w:r>
    </w:p>
    <w:p w:rsidR="001B29F9" w:rsidRDefault="004057CC" w:rsidP="001B29F9">
      <w:r>
        <w:rPr>
          <w:noProof/>
          <w:lang w:bidi="ar-SA"/>
        </w:rPr>
        <mc:AlternateContent>
          <mc:Choice Requires="wps">
            <w:drawing>
              <wp:anchor distT="0" distB="0" distL="114300" distR="114300" simplePos="0" relativeHeight="251723776" behindDoc="0" locked="0" layoutInCell="1" allowOverlap="1" wp14:anchorId="45BE3B0C" wp14:editId="2DEC0338">
                <wp:simplePos x="0" y="0"/>
                <wp:positionH relativeFrom="column">
                  <wp:posOffset>4684395</wp:posOffset>
                </wp:positionH>
                <wp:positionV relativeFrom="paragraph">
                  <wp:posOffset>85725</wp:posOffset>
                </wp:positionV>
                <wp:extent cx="521970" cy="579120"/>
                <wp:effectExtent l="76200" t="38100" r="49530" b="49530"/>
                <wp:wrapNone/>
                <wp:docPr id="18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579120"/>
                        </a:xfrm>
                        <a:prstGeom prst="upArrow">
                          <a:avLst>
                            <a:gd name="adj1" fmla="val 50000"/>
                            <a:gd name="adj2" fmla="val 27737"/>
                          </a:avLst>
                        </a:prstGeom>
                        <a:noFill/>
                        <a:ln w="38100" cmpd="sng">
                          <a:solidFill>
                            <a:schemeClr val="tx1">
                              <a:lumMod val="100000"/>
                              <a:lumOff val="0"/>
                            </a:schemeClr>
                          </a:solidFill>
                          <a:prstDash val="solid"/>
                          <a:miter lim="800000"/>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solidFill>
                                <a:srgbClr val="C00000"/>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5" o:spid="_x0000_s1026" type="#_x0000_t68" style="position:absolute;margin-left:368.85pt;margin-top:6.75pt;width:41.1pt;height:45.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" filled="f" fillcolor="#c00000" strokecolor="black [3213]" strokeweight="3pt">
                <v:shadow on="t" color="#4c4c4c [1606]" opacity=".5" offset="1pt"/>
                <v:textbox style="layout-flow:vertical-ideographic"/>
              </v:shape>
            </w:pict>
          </mc:Fallback>
        </mc:AlternateContent>
      </w:r>
      <w:r>
        <w:rPr>
          <w:noProof/>
          <w:lang w:bidi="ar-SA"/>
        </w:rPr>
        <mc:AlternateContent>
          <mc:Choice Requires="wps">
            <w:drawing>
              <wp:anchor distT="0" distB="0" distL="114300" distR="114300" simplePos="0" relativeHeight="251724800" behindDoc="0" locked="0" layoutInCell="1" allowOverlap="1" wp14:anchorId="5244363D" wp14:editId="1DE19329">
                <wp:simplePos x="0" y="0"/>
                <wp:positionH relativeFrom="column">
                  <wp:posOffset>3078480</wp:posOffset>
                </wp:positionH>
                <wp:positionV relativeFrom="paragraph">
                  <wp:posOffset>85725</wp:posOffset>
                </wp:positionV>
                <wp:extent cx="499745" cy="579755"/>
                <wp:effectExtent l="76200" t="38100" r="52705" b="48895"/>
                <wp:wrapNone/>
                <wp:docPr id="18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79755"/>
                        </a:xfrm>
                        <a:prstGeom prst="upArrow">
                          <a:avLst>
                            <a:gd name="adj1" fmla="val 50000"/>
                            <a:gd name="adj2" fmla="val 29003"/>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68" style="position:absolute;margin-left:242.4pt;margin-top:6.75pt;width:39.35pt;height:45.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" fillcolor="#c00000" strokecolor="#c00000" strokeweight="3pt">
                <v:shadow on="t" color="#4c4c4c [1606]" opacity=".5" offset="1pt"/>
                <v:textbox style="layout-flow:vertical-ideographic"/>
              </v:shape>
            </w:pict>
          </mc:Fallback>
        </mc:AlternateContent>
      </w:r>
    </w:p>
    <w:p w:rsidR="001B29F9" w:rsidRDefault="004057CC" w:rsidP="001B29F9">
      <w:r>
        <w:rPr>
          <w:noProof/>
          <w:lang w:bidi="ar-SA"/>
        </w:rPr>
        <mc:AlternateContent>
          <mc:Choice Requires="wps">
            <w:drawing>
              <wp:anchor distT="0" distB="0" distL="114300" distR="114300" simplePos="0" relativeHeight="251720704" behindDoc="0" locked="0" layoutInCell="1" allowOverlap="1" wp14:anchorId="71D74CEE" wp14:editId="6BAF39C6">
                <wp:simplePos x="0" y="0"/>
                <wp:positionH relativeFrom="column">
                  <wp:posOffset>-48895</wp:posOffset>
                </wp:positionH>
                <wp:positionV relativeFrom="paragraph">
                  <wp:posOffset>9525</wp:posOffset>
                </wp:positionV>
                <wp:extent cx="318135" cy="382270"/>
                <wp:effectExtent l="76200" t="38100" r="62865" b="55880"/>
                <wp:wrapNone/>
                <wp:docPr id="18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382270"/>
                        </a:xfrm>
                        <a:prstGeom prst="upArrow">
                          <a:avLst>
                            <a:gd name="adj1" fmla="val 50000"/>
                            <a:gd name="adj2" fmla="val 30040"/>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68" style="position:absolute;margin-left:-3.85pt;margin-top:.75pt;width:25.05pt;height:30.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" fillcolor="#c00000" strokecolor="#c00000" strokeweight="3pt">
                <v:shadow on="t" color="#4c4c4c [1606]" opacity=".5" offset="1pt"/>
                <v:textbox style="layout-flow:vertical-ideographic"/>
              </v:shape>
            </w:pict>
          </mc:Fallback>
        </mc:AlternateContent>
      </w:r>
      <w:r>
        <w:rPr>
          <w:noProof/>
          <w:lang w:bidi="ar-SA"/>
        </w:rPr>
        <mc:AlternateContent>
          <mc:Choice Requires="wps">
            <w:drawing>
              <wp:anchor distT="0" distB="0" distL="114300" distR="114300" simplePos="0" relativeHeight="251722752" behindDoc="0" locked="0" layoutInCell="1" allowOverlap="1" wp14:anchorId="3C484FC0" wp14:editId="3D28451A">
                <wp:simplePos x="0" y="0"/>
                <wp:positionH relativeFrom="column">
                  <wp:posOffset>1638300</wp:posOffset>
                </wp:positionH>
                <wp:positionV relativeFrom="paragraph">
                  <wp:posOffset>9525</wp:posOffset>
                </wp:positionV>
                <wp:extent cx="318135" cy="382270"/>
                <wp:effectExtent l="76200" t="38100" r="62865" b="55880"/>
                <wp:wrapNone/>
                <wp:docPr id="18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382270"/>
                        </a:xfrm>
                        <a:prstGeom prst="upArrow">
                          <a:avLst>
                            <a:gd name="adj1" fmla="val 50000"/>
                            <a:gd name="adj2" fmla="val 30040"/>
                          </a:avLst>
                        </a:prstGeom>
                        <a:noFill/>
                        <a:ln w="38100" cmpd="sng">
                          <a:solidFill>
                            <a:schemeClr val="tx1">
                              <a:lumMod val="100000"/>
                              <a:lumOff val="0"/>
                            </a:schemeClr>
                          </a:solidFill>
                          <a:prstDash val="solid"/>
                          <a:miter lim="800000"/>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solidFill>
                                <a:srgbClr val="C00000"/>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68" style="position:absolute;margin-left:129pt;margin-top:.75pt;width:25.05pt;height:30.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" filled="f" fillcolor="#c00000" strokecolor="black [3213]" strokeweight="3pt">
                <v:shadow on="t" color="#4c4c4c [1606]" opacity=".5" offset="1pt"/>
                <v:textbox style="layout-flow:vertical-ideographic"/>
              </v:shape>
            </w:pict>
          </mc:Fallback>
        </mc:AlternateContent>
      </w:r>
    </w:p>
    <w:p w:rsidR="001B29F9" w:rsidRPr="00836A9C" w:rsidRDefault="004057CC" w:rsidP="001B29F9">
      <w:r>
        <w:rPr>
          <w:noProof/>
          <w:lang w:bidi="ar-SA"/>
        </w:rPr>
        <mc:AlternateContent>
          <mc:Choice Requires="wps">
            <w:drawing>
              <wp:anchor distT="0" distB="0" distL="114300" distR="114300" simplePos="0" relativeHeight="251728896" behindDoc="0" locked="0" layoutInCell="1" allowOverlap="1" wp14:anchorId="4CEFD3CE" wp14:editId="279D6C1D">
                <wp:simplePos x="0" y="0"/>
                <wp:positionH relativeFrom="column">
                  <wp:posOffset>-446405</wp:posOffset>
                </wp:positionH>
                <wp:positionV relativeFrom="paragraph">
                  <wp:posOffset>293370</wp:posOffset>
                </wp:positionV>
                <wp:extent cx="6878320" cy="610235"/>
                <wp:effectExtent l="0" t="0" r="17780" b="18415"/>
                <wp:wrapNone/>
                <wp:docPr id="183"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320" cy="610235"/>
                        </a:xfrm>
                        <a:prstGeom prst="rect">
                          <a:avLst/>
                        </a:prstGeom>
                        <a:solidFill>
                          <a:srgbClr val="FFFFFF"/>
                        </a:solidFill>
                        <a:ln w="9525">
                          <a:solidFill>
                            <a:srgbClr val="000000"/>
                          </a:solidFill>
                          <a:miter lim="800000"/>
                          <a:headEnd/>
                          <a:tailEnd/>
                        </a:ln>
                      </wps:spPr>
                      <wps:txbx>
                        <w:txbxContent>
                          <w:p w:rsidR="002D610B" w:rsidRPr="00A351AA" w:rsidRDefault="002D610B" w:rsidP="001B29F9">
                            <w:r w:rsidRPr="00A351AA">
                              <w:t xml:space="preserve">„Rövid végrehajtási </w:t>
                            </w:r>
                            <w:r w:rsidRPr="008A5A68">
                              <w:t>idő</w:t>
                            </w:r>
                            <w:r w:rsidRPr="00A351AA">
                              <w:t>” – rövidebb, mint 1 év</w:t>
                            </w:r>
                          </w:p>
                          <w:p w:rsidR="002D610B" w:rsidRPr="00A351AA" w:rsidRDefault="002D610B" w:rsidP="001B29F9">
                            <w:r w:rsidRPr="00A351AA">
                              <w:t>„Középtávú végrehajtási idő” – 1-3 év közötti időszak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5.15pt;margin-top:23.1pt;width:541.6pt;height:48.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">
                <v:textbox>
                  <w:txbxContent>
                    <w:p w:rsidR="002D610B" w:rsidRPr="00A351AA" w:rsidRDefault="002D610B" w:rsidP="001B29F9">
                      <w:r w:rsidRPr="00A351AA">
                        <w:t xml:space="preserve">„Rövid végrehajtási </w:t>
                      </w:r>
                      <w:r w:rsidRPr="008A5A68">
                        <w:t>idő</w:t>
                      </w:r>
                      <w:r w:rsidRPr="00A351AA">
                        <w:t>” – rövidebb, mint 1 év</w:t>
                      </w:r>
                    </w:p>
                    <w:p w:rsidR="002D610B" w:rsidRPr="00A351AA" w:rsidRDefault="002D610B" w:rsidP="001B29F9">
                      <w:r w:rsidRPr="00A351AA">
                        <w:t>„Középtávú végrehajtási idő” – 1-3 év közötti időszak</w:t>
                      </w:r>
                    </w:p>
                  </w:txbxContent>
                </v:textbox>
              </v:shape>
            </w:pict>
          </mc:Fallback>
        </mc:AlternateContent>
      </w:r>
    </w:p>
    <w:p w:rsidR="001B29F9" w:rsidRPr="00836A9C" w:rsidRDefault="001B29F9" w:rsidP="001B29F9"/>
    <w:p w:rsidR="001B29F9" w:rsidRPr="00836A9C" w:rsidRDefault="001B29F9" w:rsidP="001B29F9"/>
    <w:p w:rsidR="001B29F9" w:rsidRDefault="001B29F9" w:rsidP="001B29F9"/>
    <w:p w:rsidR="001B29F9" w:rsidRDefault="001B29F9" w:rsidP="001B29F9">
      <w:r>
        <w:rPr>
          <w:b/>
        </w:rPr>
        <w:t xml:space="preserve">1. A </w:t>
      </w:r>
      <w:proofErr w:type="spellStart"/>
      <w:r>
        <w:rPr>
          <w:b/>
        </w:rPr>
        <w:t>nemteljesítő</w:t>
      </w:r>
      <w:proofErr w:type="spellEnd"/>
      <w:r>
        <w:rPr>
          <w:b/>
        </w:rPr>
        <w:t xml:space="preserve"> hitelek (NPL) átruházása</w:t>
      </w:r>
    </w:p>
    <w:tbl>
      <w:tblPr>
        <w:tblStyle w:val="tblzat-fejlces"/>
        <w:tblW w:w="0" w:type="auto"/>
        <w:tblLook w:val="04A0" w:firstRow="1" w:lastRow="0" w:firstColumn="1" w:lastColumn="0" w:noHBand="0" w:noVBand="1"/>
      </w:tblPr>
      <w:tblGrid>
        <w:gridCol w:w="2376"/>
        <w:gridCol w:w="3119"/>
        <w:gridCol w:w="2835"/>
        <w:gridCol w:w="1334"/>
      </w:tblGrid>
      <w:tr w:rsidR="001B29F9" w:rsidTr="005B0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29F9" w:rsidRDefault="001B29F9" w:rsidP="005B075A">
            <w:r>
              <w:t>Szabályozási háttér</w:t>
            </w:r>
          </w:p>
        </w:tc>
        <w:tc>
          <w:tcPr>
            <w:tcW w:w="3119" w:type="dxa"/>
          </w:tcPr>
          <w:p w:rsidR="001B29F9" w:rsidRDefault="001B29F9" w:rsidP="005B075A">
            <w:pPr>
              <w:cnfStyle w:val="100000000000" w:firstRow="1" w:lastRow="0" w:firstColumn="0" w:lastColumn="0" w:oddVBand="0" w:evenVBand="0" w:oddHBand="0" w:evenHBand="0" w:firstRowFirstColumn="0" w:firstRowLastColumn="0" w:lastRowFirstColumn="0" w:lastRowLastColumn="0"/>
            </w:pPr>
            <w:r>
              <w:t>Azonosított gyakorlati probléma</w:t>
            </w:r>
          </w:p>
        </w:tc>
        <w:tc>
          <w:tcPr>
            <w:tcW w:w="2835" w:type="dxa"/>
          </w:tcPr>
          <w:p w:rsidR="001B29F9" w:rsidRDefault="001B29F9" w:rsidP="005B075A">
            <w:pPr>
              <w:cnfStyle w:val="100000000000" w:firstRow="1" w:lastRow="0" w:firstColumn="0" w:lastColumn="0" w:oddVBand="0" w:evenVBand="0" w:oddHBand="0" w:evenHBand="0" w:firstRowFirstColumn="0" w:firstRowLastColumn="0" w:lastRowFirstColumn="0" w:lastRowLastColumn="0"/>
            </w:pPr>
            <w:r>
              <w:t>Potenciális megoldási lehetőség</w:t>
            </w:r>
          </w:p>
        </w:tc>
        <w:tc>
          <w:tcPr>
            <w:tcW w:w="1334" w:type="dxa"/>
          </w:tcPr>
          <w:p w:rsidR="001B29F9" w:rsidRDefault="001B29F9" w:rsidP="005B075A">
            <w:pPr>
              <w:cnfStyle w:val="100000000000" w:firstRow="1" w:lastRow="0" w:firstColumn="0" w:lastColumn="0" w:oddVBand="0" w:evenVBand="0" w:oddHBand="0" w:evenHBand="0" w:firstRowFirstColumn="0" w:firstRowLastColumn="0" w:lastRowFirstColumn="0" w:lastRowLastColumn="0"/>
            </w:pPr>
            <w:r>
              <w:t>Prioritás</w:t>
            </w:r>
          </w:p>
        </w:tc>
      </w:tr>
      <w:tr w:rsidR="001B29F9" w:rsidTr="005B075A">
        <w:tc>
          <w:tcPr>
            <w:cnfStyle w:val="001000000000" w:firstRow="0" w:lastRow="0" w:firstColumn="1" w:lastColumn="0" w:oddVBand="0" w:evenVBand="0" w:oddHBand="0" w:evenHBand="0" w:firstRowFirstColumn="0" w:firstRowLastColumn="0" w:lastRowFirstColumn="0" w:lastRowLastColumn="0"/>
            <w:tcW w:w="2376" w:type="dxa"/>
            <w:vAlign w:val="top"/>
          </w:tcPr>
          <w:p w:rsidR="001B29F9" w:rsidRPr="001C7F5D" w:rsidRDefault="001B29F9" w:rsidP="001C7F5D">
            <w:pPr>
              <w:pStyle w:val="ListParagraph"/>
              <w:numPr>
                <w:ilvl w:val="0"/>
                <w:numId w:val="76"/>
              </w:numPr>
              <w:spacing w:after="150"/>
              <w:jc w:val="both"/>
            </w:pPr>
            <w:r w:rsidRPr="001C7F5D">
              <w:t xml:space="preserve">A követelést </w:t>
            </w:r>
            <w:r w:rsidR="00442263" w:rsidRPr="001C7F5D">
              <w:t xml:space="preserve">üzletszerűen </w:t>
            </w:r>
            <w:r w:rsidRPr="001C7F5D">
              <w:t>vásárló vállalatoknak szükséges engedélyezési követelmények.</w:t>
            </w:r>
          </w:p>
        </w:tc>
        <w:tc>
          <w:tcPr>
            <w:tcW w:w="3119" w:type="dxa"/>
            <w:vAlign w:val="top"/>
          </w:tcPr>
          <w:p w:rsidR="001B29F9" w:rsidRDefault="001B29F9" w:rsidP="00EF10C5">
            <w:pPr>
              <w:pStyle w:val="ListParagraph"/>
              <w:numPr>
                <w:ilvl w:val="0"/>
                <w:numId w:val="61"/>
              </w:numPr>
              <w:spacing w:after="150"/>
              <w:ind w:left="278" w:hanging="278"/>
              <w:jc w:val="both"/>
              <w:cnfStyle w:val="000000000000" w:firstRow="0" w:lastRow="0" w:firstColumn="0" w:lastColumn="0" w:oddVBand="0" w:evenVBand="0" w:oddHBand="0" w:evenHBand="0" w:firstRowFirstColumn="0" w:firstRowLastColumn="0" w:lastRowFirstColumn="0" w:lastRowLastColumn="0"/>
            </w:pPr>
            <w:r>
              <w:t xml:space="preserve">Az a követelmény, hogy Magyarországon egy követelést </w:t>
            </w:r>
            <w:r w:rsidR="00A1507A">
              <w:t xml:space="preserve">üzletszerűen </w:t>
            </w:r>
            <w:r>
              <w:t xml:space="preserve">vásárolni </w:t>
            </w:r>
            <w:proofErr w:type="gramStart"/>
            <w:r>
              <w:t>szándékozó  vállalatnak</w:t>
            </w:r>
            <w:proofErr w:type="gramEnd"/>
            <w:r>
              <w:t xml:space="preserve"> engedéllyel kell rendelkeznie,  túl sok terhet jelent, és korlátoz</w:t>
            </w:r>
            <w:r w:rsidR="00EF10C5">
              <w:t>hatja</w:t>
            </w:r>
            <w:r>
              <w:t xml:space="preserve"> a </w:t>
            </w:r>
            <w:proofErr w:type="spellStart"/>
            <w:r>
              <w:t>nemteljesítő</w:t>
            </w:r>
            <w:proofErr w:type="spellEnd"/>
            <w:r>
              <w:t xml:space="preserve"> hitelek (NPL) piacára való belépést a másodlagos befektetők számára. </w:t>
            </w:r>
          </w:p>
        </w:tc>
        <w:tc>
          <w:tcPr>
            <w:tcW w:w="2835" w:type="dxa"/>
            <w:vAlign w:val="top"/>
          </w:tcPr>
          <w:p w:rsidR="001B29F9" w:rsidRDefault="001B29F9" w:rsidP="00D962D7">
            <w:pPr>
              <w:pStyle w:val="ListParagraph"/>
              <w:numPr>
                <w:ilvl w:val="0"/>
                <w:numId w:val="61"/>
              </w:numPr>
              <w:spacing w:after="150"/>
              <w:ind w:left="271" w:hanging="271"/>
              <w:jc w:val="both"/>
              <w:cnfStyle w:val="000000000000" w:firstRow="0" w:lastRow="0" w:firstColumn="0" w:lastColumn="0" w:oddVBand="0" w:evenVBand="0" w:oddHBand="0" w:evenHBand="0" w:firstRowFirstColumn="0" w:firstRowLastColumn="0" w:lastRowFirstColumn="0" w:lastRowLastColumn="0"/>
            </w:pPr>
            <w:r>
              <w:t xml:space="preserve">A </w:t>
            </w:r>
            <w:r w:rsidR="005F67EB">
              <w:t>jelenlegi</w:t>
            </w:r>
            <w:r>
              <w:t xml:space="preserve"> engedélyezési </w:t>
            </w:r>
            <w:r w:rsidR="005F67EB">
              <w:t xml:space="preserve">rendszer áttekintése indokolt lehet annak megítélése szempontjából, hogy lehetséges-e bármelyik jelenlegi engedélyezési követelmény lazítása vagy meggyorsítása a jogi személy adósok </w:t>
            </w:r>
            <w:proofErr w:type="spellStart"/>
            <w:r w:rsidR="005F67EB">
              <w:t>NPL-jeinek</w:t>
            </w:r>
            <w:proofErr w:type="spellEnd"/>
            <w:r w:rsidR="005F67EB">
              <w:t xml:space="preserve"> megvásárlói számára, kizárólag abból a szempontból, hogy több </w:t>
            </w:r>
            <w:r w:rsidR="005F67EB">
              <w:lastRenderedPageBreak/>
              <w:t>másodlagos befektető tudjon a piacra lépni.</w:t>
            </w:r>
            <w:r w:rsidR="00944DFE">
              <w:rPr>
                <w:rStyle w:val="FootnoteReference"/>
              </w:rPr>
              <w:footnoteReference w:id="1"/>
            </w:r>
            <w:r w:rsidR="005F67EB">
              <w:t xml:space="preserve"> </w:t>
            </w:r>
          </w:p>
        </w:tc>
        <w:tc>
          <w:tcPr>
            <w:tcW w:w="1334"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w:lastRenderedPageBreak/>
              <mc:AlternateContent>
                <mc:Choice Requires="wps">
                  <w:drawing>
                    <wp:anchor distT="0" distB="0" distL="114300" distR="114300" simplePos="0" relativeHeight="251729920" behindDoc="0" locked="0" layoutInCell="1" allowOverlap="1" wp14:anchorId="5D496C0D" wp14:editId="64C30E8E">
                      <wp:simplePos x="0" y="0"/>
                      <wp:positionH relativeFrom="column">
                        <wp:posOffset>169545</wp:posOffset>
                      </wp:positionH>
                      <wp:positionV relativeFrom="paragraph">
                        <wp:posOffset>-216535</wp:posOffset>
                      </wp:positionV>
                      <wp:extent cx="318135" cy="382270"/>
                      <wp:effectExtent l="76200" t="38100" r="62865" b="55880"/>
                      <wp:wrapNone/>
                      <wp:docPr id="18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382270"/>
                              </a:xfrm>
                              <a:prstGeom prst="upArrow">
                                <a:avLst>
                                  <a:gd name="adj1" fmla="val 50000"/>
                                  <a:gd name="adj2" fmla="val 30040"/>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026" type="#_x0000_t68" style="position:absolute;margin-left:13.35pt;margin-top:-17.05pt;width:25.05pt;height:30.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" fillcolor="#c00000" strokecolor="#c00000" strokeweight="3pt">
                      <v:shadow on="t" color="#4c4c4c [1606]" opacity=".5" offset="1pt"/>
                      <v:textbox style="layout-flow:vertical-ideographic"/>
                    </v:shape>
                  </w:pict>
                </mc:Fallback>
              </mc:AlternateContent>
            </w:r>
          </w:p>
        </w:tc>
      </w:tr>
      <w:tr w:rsidR="001B29F9" w:rsidTr="005B075A">
        <w:trPr>
          <w:trHeight w:val="2477"/>
        </w:trPr>
        <w:tc>
          <w:tcPr>
            <w:cnfStyle w:val="001000000000" w:firstRow="0" w:lastRow="0" w:firstColumn="1" w:lastColumn="0" w:oddVBand="0" w:evenVBand="0" w:oddHBand="0" w:evenHBand="0" w:firstRowFirstColumn="0" w:firstRowLastColumn="0" w:lastRowFirstColumn="0" w:lastRowLastColumn="0"/>
            <w:tcW w:w="2376" w:type="dxa"/>
            <w:vAlign w:val="top"/>
          </w:tcPr>
          <w:p w:rsidR="001B29F9" w:rsidRPr="001C7F5D" w:rsidRDefault="001B29F9" w:rsidP="001C7F5D">
            <w:pPr>
              <w:pStyle w:val="ListParagraph"/>
              <w:numPr>
                <w:ilvl w:val="0"/>
                <w:numId w:val="76"/>
              </w:numPr>
              <w:spacing w:after="150"/>
              <w:jc w:val="both"/>
            </w:pPr>
            <w:r w:rsidRPr="001C7F5D">
              <w:lastRenderedPageBreak/>
              <w:t>Az Új Polgári Törvénykönyv 6:208§</w:t>
            </w:r>
            <w:proofErr w:type="spellStart"/>
            <w:r w:rsidRPr="001C7F5D">
              <w:t>-nak</w:t>
            </w:r>
            <w:proofErr w:type="spellEnd"/>
            <w:r w:rsidRPr="001C7F5D">
              <w:t xml:space="preserve"> (3) cikke alapján a biztosíték/zálogjog szerződéses átruházás esetén újra megalapítottnak tekintendő </w:t>
            </w:r>
          </w:p>
        </w:tc>
        <w:tc>
          <w:tcPr>
            <w:tcW w:w="3119" w:type="dxa"/>
            <w:vAlign w:val="top"/>
          </w:tcPr>
          <w:p w:rsidR="001B29F9" w:rsidRDefault="001B29F9" w:rsidP="009A73FD">
            <w:pPr>
              <w:pStyle w:val="ListParagraph"/>
              <w:numPr>
                <w:ilvl w:val="0"/>
                <w:numId w:val="62"/>
              </w:numPr>
              <w:spacing w:after="150"/>
              <w:ind w:left="278" w:hanging="278"/>
              <w:jc w:val="both"/>
              <w:cnfStyle w:val="000000000000" w:firstRow="0" w:lastRow="0" w:firstColumn="0" w:lastColumn="0" w:oddVBand="0" w:evenVBand="0" w:oddHBand="0" w:evenHBand="0" w:firstRowFirstColumn="0" w:firstRowLastColumn="0" w:lastRowFirstColumn="0" w:lastRowLastColumn="0"/>
            </w:pPr>
            <w:r>
              <w:t xml:space="preserve">Ez minden bizonnyal befolyásolja a hitelszerződések alapján fennálló jogok és kötelességek átruházását. A változtatás óta nem egyértelmű, hogy azok a biztosítéki szerződések, amelyek esetében a </w:t>
            </w:r>
            <w:proofErr w:type="spellStart"/>
            <w:r>
              <w:t>Cstv</w:t>
            </w:r>
            <w:proofErr w:type="spellEnd"/>
            <w:r>
              <w:t>. szerinti megtámadási határidők már leteltek, újra megtámadhatókká válnak-e egy NPL esetleges átruházásakor.</w:t>
            </w:r>
          </w:p>
        </w:tc>
        <w:tc>
          <w:tcPr>
            <w:tcW w:w="2835" w:type="dxa"/>
            <w:vAlign w:val="top"/>
          </w:tcPr>
          <w:p w:rsidR="001B29F9" w:rsidRDefault="001B29F9" w:rsidP="009A73FD">
            <w:pPr>
              <w:pStyle w:val="ListParagraph"/>
              <w:numPr>
                <w:ilvl w:val="0"/>
                <w:numId w:val="62"/>
              </w:numPr>
              <w:spacing w:after="150"/>
              <w:ind w:left="271" w:hanging="271"/>
              <w:jc w:val="both"/>
              <w:cnfStyle w:val="000000000000" w:firstRow="0" w:lastRow="0" w:firstColumn="0" w:lastColumn="0" w:oddVBand="0" w:evenVBand="0" w:oddHBand="0" w:evenHBand="0" w:firstRowFirstColumn="0" w:firstRowLastColumn="0" w:lastRowFirstColumn="0" w:lastRowLastColumn="0"/>
            </w:pPr>
            <w:r>
              <w:t>Az Új Polgári Törvénykönyv 6:208§</w:t>
            </w:r>
            <w:proofErr w:type="spellStart"/>
            <w:r>
              <w:t>-nak</w:t>
            </w:r>
            <w:proofErr w:type="spellEnd"/>
            <w:r>
              <w:t xml:space="preserve"> (3) cikkét módosítani kellene annak </w:t>
            </w:r>
            <w:r w:rsidRPr="007102CB">
              <w:t xml:space="preserve">érdekében, hogy </w:t>
            </w:r>
            <w:r>
              <w:t xml:space="preserve">a biztosítékokhoz kapcsolódó </w:t>
            </w:r>
            <w:r w:rsidRPr="007102CB">
              <w:t xml:space="preserve">minden </w:t>
            </w:r>
            <w:r>
              <w:t xml:space="preserve">addigi kielégítési </w:t>
            </w:r>
            <w:proofErr w:type="gramStart"/>
            <w:r>
              <w:t>elsőbbség</w:t>
            </w:r>
            <w:r w:rsidRPr="007102CB">
              <w:t xml:space="preserve">  biztosítva</w:t>
            </w:r>
            <w:proofErr w:type="gramEnd"/>
            <w:r w:rsidRPr="007102CB">
              <w:t xml:space="preserve"> maradjon</w:t>
            </w:r>
            <w:r>
              <w:t xml:space="preserve">, valamint a </w:t>
            </w:r>
            <w:proofErr w:type="spellStart"/>
            <w:r>
              <w:t>Cstv</w:t>
            </w:r>
            <w:proofErr w:type="spellEnd"/>
            <w:r>
              <w:t>. szerinti megtámadási határidők</w:t>
            </w:r>
            <w:r w:rsidRPr="007102CB">
              <w:t xml:space="preserve"> </w:t>
            </w:r>
            <w:r>
              <w:t xml:space="preserve"> ne kezdődjenek újra a hitel vagy valamilyen azt biztosító biztosíték átruházásakor. </w:t>
            </w:r>
          </w:p>
        </w:tc>
        <w:tc>
          <w:tcPr>
            <w:tcW w:w="1334"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30944" behindDoc="0" locked="0" layoutInCell="1" allowOverlap="1" wp14:anchorId="2A1243A4" wp14:editId="19B9AD31">
                      <wp:simplePos x="0" y="0"/>
                      <wp:positionH relativeFrom="column">
                        <wp:posOffset>169545</wp:posOffset>
                      </wp:positionH>
                      <wp:positionV relativeFrom="paragraph">
                        <wp:posOffset>-242570</wp:posOffset>
                      </wp:positionV>
                      <wp:extent cx="318135" cy="382270"/>
                      <wp:effectExtent l="76200" t="38100" r="62865" b="55880"/>
                      <wp:wrapNone/>
                      <wp:docPr id="18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382270"/>
                              </a:xfrm>
                              <a:prstGeom prst="upArrow">
                                <a:avLst>
                                  <a:gd name="adj1" fmla="val 50000"/>
                                  <a:gd name="adj2" fmla="val 30040"/>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 o:spid="_x0000_s1026" type="#_x0000_t68" style="position:absolute;margin-left:13.35pt;margin-top:-19.1pt;width:25.05pt;height:30.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" fillcolor="#c00000" strokecolor="#c00000" strokeweight="3pt">
                      <v:shadow on="t" color="#4c4c4c [1606]" opacity=".5" offset="1pt"/>
                      <v:textbox style="layout-flow:vertical-ideographic"/>
                    </v:shape>
                  </w:pict>
                </mc:Fallback>
              </mc:AlternateContent>
            </w:r>
          </w:p>
        </w:tc>
      </w:tr>
      <w:tr w:rsidR="001B29F9" w:rsidTr="005B075A">
        <w:tc>
          <w:tcPr>
            <w:cnfStyle w:val="001000000000" w:firstRow="0" w:lastRow="0" w:firstColumn="1" w:lastColumn="0" w:oddVBand="0" w:evenVBand="0" w:oddHBand="0" w:evenHBand="0" w:firstRowFirstColumn="0" w:firstRowLastColumn="0" w:lastRowFirstColumn="0" w:lastRowLastColumn="0"/>
            <w:tcW w:w="2376" w:type="dxa"/>
            <w:vAlign w:val="top"/>
          </w:tcPr>
          <w:p w:rsidR="001B29F9" w:rsidRPr="001C7F5D" w:rsidRDefault="001B29F9" w:rsidP="001C7F5D">
            <w:pPr>
              <w:pStyle w:val="ListParagraph"/>
              <w:numPr>
                <w:ilvl w:val="0"/>
                <w:numId w:val="76"/>
              </w:numPr>
              <w:spacing w:after="150"/>
              <w:jc w:val="both"/>
            </w:pPr>
            <w:r w:rsidRPr="001C7F5D">
              <w:t xml:space="preserve">Azokban az esetekben, amikor az </w:t>
            </w:r>
            <w:proofErr w:type="spellStart"/>
            <w:r w:rsidRPr="001C7F5D">
              <w:t>NPL-ek</w:t>
            </w:r>
            <w:proofErr w:type="spellEnd"/>
            <w:r w:rsidRPr="001C7F5D">
              <w:t xml:space="preserve"> felvásárlója egy magyar vállalatot bíz meg az </w:t>
            </w:r>
            <w:proofErr w:type="spellStart"/>
            <w:r w:rsidRPr="001C7F5D">
              <w:t>NPL-ek</w:t>
            </w:r>
            <w:proofErr w:type="spellEnd"/>
            <w:r w:rsidRPr="001C7F5D">
              <w:t xml:space="preserve"> behajtásával és kezelésével, bizonytalanság van a szolgáltatási díj áfa kezelését illetően. (Általános szabályként a behajtási tevékenységért járó szolgáltatási díj áfa köteles, míg a követelés kezeléséhez kapcsolódó szolgáltatási díj bizonyos esetekben lehet áfa </w:t>
            </w:r>
            <w:proofErr w:type="gramStart"/>
            <w:r w:rsidRPr="001C7F5D">
              <w:t>mentes</w:t>
            </w:r>
            <w:proofErr w:type="gramEnd"/>
            <w:r w:rsidRPr="001C7F5D">
              <w:t xml:space="preserve">. </w:t>
            </w:r>
          </w:p>
        </w:tc>
        <w:tc>
          <w:tcPr>
            <w:tcW w:w="3119" w:type="dxa"/>
            <w:vAlign w:val="top"/>
          </w:tcPr>
          <w:p w:rsidR="001B29F9" w:rsidRDefault="001B29F9" w:rsidP="009A73FD">
            <w:pPr>
              <w:pStyle w:val="ListParagraph"/>
              <w:numPr>
                <w:ilvl w:val="0"/>
                <w:numId w:val="63"/>
              </w:numPr>
              <w:spacing w:after="150"/>
              <w:ind w:left="318" w:hanging="318"/>
              <w:jc w:val="both"/>
              <w:cnfStyle w:val="000000000000" w:firstRow="0" w:lastRow="0" w:firstColumn="0" w:lastColumn="0" w:oddVBand="0" w:evenVBand="0" w:oddHBand="0" w:evenHBand="0" w:firstRowFirstColumn="0" w:firstRowLastColumn="0" w:lastRowFirstColumn="0" w:lastRowLastColumn="0"/>
            </w:pPr>
            <w:r w:rsidRPr="0075522A">
              <w:t>A követelések behajtásával és kezelésével kapcsolatos áfa kezelési/fizetési bizonytalanságok nehézségeket okozhatnak a követelések felvásárlóinak.</w:t>
            </w:r>
          </w:p>
        </w:tc>
        <w:tc>
          <w:tcPr>
            <w:tcW w:w="2835" w:type="dxa"/>
            <w:vAlign w:val="top"/>
          </w:tcPr>
          <w:p w:rsidR="001B29F9" w:rsidRDefault="001B29F9" w:rsidP="009A73FD">
            <w:pPr>
              <w:pStyle w:val="ListParagraph"/>
              <w:numPr>
                <w:ilvl w:val="0"/>
                <w:numId w:val="63"/>
              </w:numPr>
              <w:spacing w:after="150"/>
              <w:ind w:left="317" w:hanging="283"/>
              <w:jc w:val="both"/>
              <w:cnfStyle w:val="000000000000" w:firstRow="0" w:lastRow="0" w:firstColumn="0" w:lastColumn="0" w:oddVBand="0" w:evenVBand="0" w:oddHBand="0" w:evenHBand="0" w:firstRowFirstColumn="0" w:firstRowLastColumn="0" w:lastRowFirstColumn="0" w:lastRowLastColumn="0"/>
            </w:pPr>
            <w:r w:rsidRPr="0075522A">
              <w:t>A Nemzetgazdasági Minisztériumnak egy állásfoglalást kellene publikálnia, mely leírja, hogy a Minisztérium hogyan értelmezi a vonatkozó áfa szabályokat.</w:t>
            </w:r>
          </w:p>
        </w:tc>
        <w:tc>
          <w:tcPr>
            <w:tcW w:w="1334"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60640" behindDoc="0" locked="0" layoutInCell="1" allowOverlap="1" wp14:anchorId="0335F6A3" wp14:editId="484389C8">
                      <wp:simplePos x="0" y="0"/>
                      <wp:positionH relativeFrom="column">
                        <wp:posOffset>169545</wp:posOffset>
                      </wp:positionH>
                      <wp:positionV relativeFrom="paragraph">
                        <wp:posOffset>-471805</wp:posOffset>
                      </wp:positionV>
                      <wp:extent cx="318135" cy="382270"/>
                      <wp:effectExtent l="76200" t="38100" r="62865" b="55880"/>
                      <wp:wrapNone/>
                      <wp:docPr id="18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382270"/>
                              </a:xfrm>
                              <a:prstGeom prst="upArrow">
                                <a:avLst>
                                  <a:gd name="adj1" fmla="val 50000"/>
                                  <a:gd name="adj2" fmla="val 30040"/>
                                </a:avLst>
                              </a:prstGeom>
                              <a:noFill/>
                              <a:ln w="38100" cmpd="sng">
                                <a:solidFill>
                                  <a:schemeClr val="tx1">
                                    <a:lumMod val="100000"/>
                                    <a:lumOff val="0"/>
                                  </a:schemeClr>
                                </a:solidFill>
                                <a:prstDash val="solid"/>
                                <a:miter lim="800000"/>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solidFill>
                                      <a:srgbClr val="C00000"/>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6" type="#_x0000_t68" style="position:absolute;margin-left:13.35pt;margin-top:-37.15pt;width:25.05pt;height:30.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" filled="f" fillcolor="#c00000" strokecolor="black [3213]" strokeweight="3pt">
                      <v:shadow on="t" color="#4c4c4c [1606]" opacity=".5" offset="1pt"/>
                      <v:textbox style="layout-flow:vertical-ideographic"/>
                    </v:shape>
                  </w:pict>
                </mc:Fallback>
              </mc:AlternateContent>
            </w:r>
          </w:p>
        </w:tc>
      </w:tr>
    </w:tbl>
    <w:p w:rsidR="001B29F9" w:rsidRDefault="001B29F9" w:rsidP="007417AE">
      <w:pPr>
        <w:keepNext/>
        <w:keepLines/>
        <w:spacing w:line="240" w:lineRule="auto"/>
        <w:rPr>
          <w:b/>
        </w:rPr>
      </w:pPr>
      <w:r w:rsidRPr="001A471B">
        <w:rPr>
          <w:b/>
        </w:rPr>
        <w:lastRenderedPageBreak/>
        <w:t>2. A bankok közötti kooperáció javítása a</w:t>
      </w:r>
      <w:r>
        <w:rPr>
          <w:b/>
        </w:rPr>
        <w:t xml:space="preserve">z NPL </w:t>
      </w:r>
      <w:r w:rsidRPr="001A471B">
        <w:rPr>
          <w:b/>
        </w:rPr>
        <w:t>arány</w:t>
      </w:r>
      <w:r>
        <w:rPr>
          <w:b/>
        </w:rPr>
        <w:t>ának</w:t>
      </w:r>
      <w:r w:rsidRPr="001A471B">
        <w:rPr>
          <w:b/>
        </w:rPr>
        <w:t xml:space="preserve"> csökkentése érdekében</w:t>
      </w:r>
    </w:p>
    <w:p w:rsidR="001B29F9" w:rsidRPr="001A471B" w:rsidRDefault="001B29F9" w:rsidP="007417AE">
      <w:pPr>
        <w:keepNext/>
        <w:keepLines/>
        <w:spacing w:line="240" w:lineRule="auto"/>
        <w:rPr>
          <w:b/>
        </w:rPr>
      </w:pPr>
    </w:p>
    <w:tbl>
      <w:tblPr>
        <w:tblStyle w:val="tblzat-fejlces"/>
        <w:tblW w:w="0" w:type="auto"/>
        <w:tblLook w:val="04A0" w:firstRow="1" w:lastRow="0" w:firstColumn="1" w:lastColumn="0" w:noHBand="0" w:noVBand="1"/>
      </w:tblPr>
      <w:tblGrid>
        <w:gridCol w:w="2376"/>
        <w:gridCol w:w="3132"/>
        <w:gridCol w:w="2964"/>
        <w:gridCol w:w="1192"/>
      </w:tblGrid>
      <w:tr w:rsidR="001B29F9" w:rsidTr="005B0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29F9" w:rsidRDefault="001B29F9" w:rsidP="007417AE">
            <w:pPr>
              <w:keepNext/>
              <w:keepLines/>
            </w:pPr>
            <w:r>
              <w:t>Szabályozási háttér</w:t>
            </w:r>
          </w:p>
        </w:tc>
        <w:tc>
          <w:tcPr>
            <w:tcW w:w="3132" w:type="dxa"/>
          </w:tcPr>
          <w:p w:rsidR="001B29F9" w:rsidRDefault="001B29F9" w:rsidP="007417AE">
            <w:pPr>
              <w:keepNext/>
              <w:keepLines/>
              <w:cnfStyle w:val="100000000000" w:firstRow="1" w:lastRow="0" w:firstColumn="0" w:lastColumn="0" w:oddVBand="0" w:evenVBand="0" w:oddHBand="0" w:evenHBand="0" w:firstRowFirstColumn="0" w:firstRowLastColumn="0" w:lastRowFirstColumn="0" w:lastRowLastColumn="0"/>
            </w:pPr>
            <w:r>
              <w:t>Azonosított gyakorlati probléma</w:t>
            </w:r>
          </w:p>
        </w:tc>
        <w:tc>
          <w:tcPr>
            <w:tcW w:w="2964" w:type="dxa"/>
          </w:tcPr>
          <w:p w:rsidR="001B29F9" w:rsidRDefault="001B29F9" w:rsidP="007417AE">
            <w:pPr>
              <w:keepNext/>
              <w:keepLines/>
              <w:cnfStyle w:val="100000000000" w:firstRow="1" w:lastRow="0" w:firstColumn="0" w:lastColumn="0" w:oddVBand="0" w:evenVBand="0" w:oddHBand="0" w:evenHBand="0" w:firstRowFirstColumn="0" w:firstRowLastColumn="0" w:lastRowFirstColumn="0" w:lastRowLastColumn="0"/>
            </w:pPr>
            <w:r>
              <w:t>Potenciális megoldási lehetőség</w:t>
            </w:r>
          </w:p>
        </w:tc>
        <w:tc>
          <w:tcPr>
            <w:tcW w:w="1192" w:type="dxa"/>
          </w:tcPr>
          <w:p w:rsidR="001B29F9" w:rsidRDefault="001B29F9" w:rsidP="007417AE">
            <w:pPr>
              <w:keepNext/>
              <w:keepLines/>
              <w:cnfStyle w:val="100000000000" w:firstRow="1" w:lastRow="0" w:firstColumn="0" w:lastColumn="0" w:oddVBand="0" w:evenVBand="0" w:oddHBand="0" w:evenHBand="0" w:firstRowFirstColumn="0" w:firstRowLastColumn="0" w:lastRowFirstColumn="0" w:lastRowLastColumn="0"/>
            </w:pPr>
            <w:r>
              <w:t>Prioritás</w:t>
            </w:r>
          </w:p>
        </w:tc>
      </w:tr>
      <w:tr w:rsidR="001B29F9" w:rsidTr="005B075A">
        <w:tc>
          <w:tcPr>
            <w:cnfStyle w:val="001000000000" w:firstRow="0" w:lastRow="0" w:firstColumn="1" w:lastColumn="0" w:oddVBand="0" w:evenVBand="0" w:oddHBand="0" w:evenHBand="0" w:firstRowFirstColumn="0" w:firstRowLastColumn="0" w:lastRowFirstColumn="0" w:lastRowLastColumn="0"/>
            <w:tcW w:w="2376" w:type="dxa"/>
            <w:vAlign w:val="top"/>
          </w:tcPr>
          <w:p w:rsidR="001B29F9" w:rsidRPr="001C7F5D" w:rsidRDefault="001B29F9" w:rsidP="007417AE">
            <w:pPr>
              <w:pStyle w:val="ListParagraph"/>
              <w:keepNext/>
              <w:keepLines/>
              <w:numPr>
                <w:ilvl w:val="0"/>
                <w:numId w:val="80"/>
              </w:numPr>
              <w:spacing w:after="150"/>
              <w:jc w:val="both"/>
            </w:pPr>
            <w:r w:rsidRPr="001C7F5D">
              <w:t xml:space="preserve">A „Budapest megközelítés” (Budapest </w:t>
            </w:r>
            <w:proofErr w:type="spellStart"/>
            <w:r w:rsidRPr="001C7F5D">
              <w:t>Approach</w:t>
            </w:r>
            <w:proofErr w:type="spellEnd"/>
            <w:r w:rsidRPr="001C7F5D">
              <w:t xml:space="preserve">) tartalmazza az érintettek közötti együttműködésre és a pénzügyi nehézségekkel küzdő adósok több hitelező részvételével történő átstrukturálására vonatkozó </w:t>
            </w:r>
            <w:proofErr w:type="gramStart"/>
            <w:r w:rsidRPr="001C7F5D">
              <w:t>alapelveket .</w:t>
            </w:r>
            <w:proofErr w:type="gramEnd"/>
          </w:p>
        </w:tc>
        <w:tc>
          <w:tcPr>
            <w:tcW w:w="3132" w:type="dxa"/>
            <w:vAlign w:val="top"/>
          </w:tcPr>
          <w:p w:rsidR="001B29F9" w:rsidRDefault="001B29F9" w:rsidP="007417AE">
            <w:pPr>
              <w:pStyle w:val="ListParagraph"/>
              <w:keepNext/>
              <w:keepLines/>
              <w:numPr>
                <w:ilvl w:val="0"/>
                <w:numId w:val="64"/>
              </w:numPr>
              <w:spacing w:after="150"/>
              <w:ind w:left="278" w:hanging="278"/>
              <w:jc w:val="both"/>
              <w:cnfStyle w:val="000000000000" w:firstRow="0" w:lastRow="0" w:firstColumn="0" w:lastColumn="0" w:oddVBand="0" w:evenVBand="0" w:oddHBand="0" w:evenHBand="0" w:firstRowFirstColumn="0" w:firstRowLastColumn="0" w:lastRowFirstColumn="0" w:lastRowLastColumn="0"/>
            </w:pPr>
            <w:r>
              <w:t>A „Budapest megközelítést” a gyakorlatban nem alkalmazzák a több hitelező részvételével történő átstrukturálásokkor.</w:t>
            </w:r>
          </w:p>
        </w:tc>
        <w:tc>
          <w:tcPr>
            <w:tcW w:w="2964" w:type="dxa"/>
            <w:vAlign w:val="top"/>
          </w:tcPr>
          <w:p w:rsidR="001B29F9" w:rsidRDefault="001B29F9" w:rsidP="007417AE">
            <w:pPr>
              <w:pStyle w:val="ListParagraph"/>
              <w:keepNext/>
              <w:keepLines/>
              <w:numPr>
                <w:ilvl w:val="0"/>
                <w:numId w:val="64"/>
              </w:numPr>
              <w:spacing w:after="150"/>
              <w:ind w:left="271" w:hanging="271"/>
              <w:jc w:val="both"/>
              <w:cnfStyle w:val="000000000000" w:firstRow="0" w:lastRow="0" w:firstColumn="0" w:lastColumn="0" w:oddVBand="0" w:evenVBand="0" w:oddHBand="0" w:evenHBand="0" w:firstRowFirstColumn="0" w:firstRowLastColumn="0" w:lastRowFirstColumn="0" w:lastRowLastColumn="0"/>
            </w:pPr>
            <w:r>
              <w:t>Az MNB-nek újra kellene gondolnia a „Budapest megközelítés” újraélesztését és bátorítania kellene a bankokat arra, hogy közösen értelmezzék újra a „Budapest megközelítést” és építsék bele a normál üzletmenetbe annak alapelveit.</w:t>
            </w:r>
          </w:p>
        </w:tc>
        <w:tc>
          <w:tcPr>
            <w:tcW w:w="1192" w:type="dxa"/>
          </w:tcPr>
          <w:p w:rsidR="001B29F9" w:rsidRDefault="004057CC" w:rsidP="007417AE">
            <w:pPr>
              <w:keepNext/>
              <w:keepLines/>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31968" behindDoc="0" locked="0" layoutInCell="1" allowOverlap="1" wp14:anchorId="080B96A4" wp14:editId="3F9EBF5C">
                      <wp:simplePos x="0" y="0"/>
                      <wp:positionH relativeFrom="column">
                        <wp:posOffset>32385</wp:posOffset>
                      </wp:positionH>
                      <wp:positionV relativeFrom="paragraph">
                        <wp:posOffset>100965</wp:posOffset>
                      </wp:positionV>
                      <wp:extent cx="499745" cy="579755"/>
                      <wp:effectExtent l="76200" t="38100" r="52705" b="48895"/>
                      <wp:wrapNone/>
                      <wp:docPr id="17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79755"/>
                              </a:xfrm>
                              <a:prstGeom prst="upArrow">
                                <a:avLst>
                                  <a:gd name="adj1" fmla="val 50000"/>
                                  <a:gd name="adj2" fmla="val 29003"/>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6" type="#_x0000_t68" style="position:absolute;margin-left:2.55pt;margin-top:7.95pt;width:39.35pt;height:45.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" fillcolor="#c00000" strokecolor="#c00000" strokeweight="3pt">
                      <v:shadow on="t" color="#4c4c4c [1606]" opacity=".5" offset="1pt"/>
                      <v:textbox style="layout-flow:vertical-ideographic"/>
                    </v:shape>
                  </w:pict>
                </mc:Fallback>
              </mc:AlternateContent>
            </w:r>
          </w:p>
        </w:tc>
      </w:tr>
    </w:tbl>
    <w:p w:rsidR="001B29F9" w:rsidRDefault="001B29F9" w:rsidP="001B29F9"/>
    <w:p w:rsidR="001B29F9" w:rsidRDefault="001B29F9" w:rsidP="001B29F9">
      <w:r>
        <w:rPr>
          <w:b/>
        </w:rPr>
        <w:t xml:space="preserve">3. </w:t>
      </w:r>
      <w:r w:rsidRPr="00FD7EE9">
        <w:rPr>
          <w:b/>
        </w:rPr>
        <w:t>A hitelezők jogkörének szélesítése a</w:t>
      </w:r>
      <w:r>
        <w:rPr>
          <w:b/>
        </w:rPr>
        <w:t xml:space="preserve">z NPL </w:t>
      </w:r>
      <w:r w:rsidRPr="00114E3B">
        <w:rPr>
          <w:b/>
        </w:rPr>
        <w:t>állomány</w:t>
      </w:r>
      <w:r>
        <w:rPr>
          <w:b/>
        </w:rPr>
        <w:t>ának csökkentésé érdekében</w:t>
      </w:r>
    </w:p>
    <w:tbl>
      <w:tblPr>
        <w:tblStyle w:val="tblzat-fejlces"/>
        <w:tblW w:w="9648" w:type="dxa"/>
        <w:tblLook w:val="04A0" w:firstRow="1" w:lastRow="0" w:firstColumn="1" w:lastColumn="0" w:noHBand="0" w:noVBand="1"/>
      </w:tblPr>
      <w:tblGrid>
        <w:gridCol w:w="2833"/>
        <w:gridCol w:w="2938"/>
        <w:gridCol w:w="2693"/>
        <w:gridCol w:w="1184"/>
      </w:tblGrid>
      <w:tr w:rsidR="001B29F9" w:rsidTr="005B0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1B29F9" w:rsidRDefault="001B29F9" w:rsidP="005B075A">
            <w:r>
              <w:t>Szabályozási háttér</w:t>
            </w:r>
          </w:p>
        </w:tc>
        <w:tc>
          <w:tcPr>
            <w:tcW w:w="3063" w:type="dxa"/>
          </w:tcPr>
          <w:p w:rsidR="001B29F9" w:rsidRDefault="001B29F9" w:rsidP="005B075A">
            <w:pPr>
              <w:cnfStyle w:val="100000000000" w:firstRow="1" w:lastRow="0" w:firstColumn="0" w:lastColumn="0" w:oddVBand="0" w:evenVBand="0" w:oddHBand="0" w:evenHBand="0" w:firstRowFirstColumn="0" w:firstRowLastColumn="0" w:lastRowFirstColumn="0" w:lastRowLastColumn="0"/>
            </w:pPr>
            <w:r>
              <w:t>Azonosított gyakorlati probléma</w:t>
            </w:r>
          </w:p>
        </w:tc>
        <w:tc>
          <w:tcPr>
            <w:tcW w:w="2970" w:type="dxa"/>
          </w:tcPr>
          <w:p w:rsidR="001B29F9" w:rsidRDefault="001B29F9" w:rsidP="005B075A">
            <w:pPr>
              <w:cnfStyle w:val="100000000000" w:firstRow="1" w:lastRow="0" w:firstColumn="0" w:lastColumn="0" w:oddVBand="0" w:evenVBand="0" w:oddHBand="0" w:evenHBand="0" w:firstRowFirstColumn="0" w:firstRowLastColumn="0" w:lastRowFirstColumn="0" w:lastRowLastColumn="0"/>
            </w:pPr>
            <w:r>
              <w:t>Potenciális megoldási lehetőség</w:t>
            </w:r>
          </w:p>
        </w:tc>
        <w:tc>
          <w:tcPr>
            <w:tcW w:w="1170" w:type="dxa"/>
          </w:tcPr>
          <w:p w:rsidR="001B29F9" w:rsidRDefault="001B29F9" w:rsidP="005B075A">
            <w:pPr>
              <w:ind w:right="192"/>
              <w:cnfStyle w:val="100000000000" w:firstRow="1" w:lastRow="0" w:firstColumn="0" w:lastColumn="0" w:oddVBand="0" w:evenVBand="0" w:oddHBand="0" w:evenHBand="0" w:firstRowFirstColumn="0" w:firstRowLastColumn="0" w:lastRowFirstColumn="0" w:lastRowLastColumn="0"/>
            </w:pPr>
            <w:r>
              <w:t>Prioritás</w:t>
            </w:r>
          </w:p>
        </w:tc>
      </w:tr>
      <w:tr w:rsidR="001B29F9" w:rsidTr="005B075A">
        <w:tc>
          <w:tcPr>
            <w:cnfStyle w:val="001000000000" w:firstRow="0" w:lastRow="0" w:firstColumn="1" w:lastColumn="0" w:oddVBand="0" w:evenVBand="0" w:oddHBand="0" w:evenHBand="0" w:firstRowFirstColumn="0" w:firstRowLastColumn="0" w:lastRowFirstColumn="0" w:lastRowLastColumn="0"/>
            <w:tcW w:w="2445" w:type="dxa"/>
            <w:vAlign w:val="top"/>
          </w:tcPr>
          <w:p w:rsidR="001B29F9" w:rsidRPr="001C7F5D" w:rsidRDefault="001B29F9" w:rsidP="001C7F5D">
            <w:pPr>
              <w:pStyle w:val="ListParagraph"/>
              <w:numPr>
                <w:ilvl w:val="0"/>
                <w:numId w:val="82"/>
              </w:numPr>
              <w:spacing w:after="150"/>
              <w:jc w:val="both"/>
            </w:pPr>
            <w:r w:rsidRPr="001C7F5D">
              <w:t xml:space="preserve">A bírósági végrehajtási eljárás lefolytatásának helye és az illetékességgel rendelkező bírósági végrehajtó az adós bejegyzett székhelye vagy – a végrehajtást </w:t>
            </w:r>
            <w:proofErr w:type="gramStart"/>
            <w:r w:rsidRPr="001C7F5D">
              <w:t>kérő  kérésére</w:t>
            </w:r>
            <w:proofErr w:type="gramEnd"/>
            <w:r w:rsidRPr="001C7F5D">
              <w:t xml:space="preserve"> – az adós végrehajtás alá vonható vagyontárgyának helye alapján kerül meghatározásra.</w:t>
            </w:r>
          </w:p>
        </w:tc>
        <w:tc>
          <w:tcPr>
            <w:tcW w:w="3063" w:type="dxa"/>
            <w:vAlign w:val="top"/>
          </w:tcPr>
          <w:p w:rsidR="001B29F9" w:rsidRDefault="001B29F9" w:rsidP="009A73FD">
            <w:pPr>
              <w:pStyle w:val="ListParagraph"/>
              <w:numPr>
                <w:ilvl w:val="0"/>
                <w:numId w:val="65"/>
              </w:numPr>
              <w:spacing w:after="150"/>
              <w:ind w:left="278" w:hanging="278"/>
              <w:jc w:val="both"/>
              <w:cnfStyle w:val="000000000000" w:firstRow="0" w:lastRow="0" w:firstColumn="0" w:lastColumn="0" w:oddVBand="0" w:evenVBand="0" w:oddHBand="0" w:evenHBand="0" w:firstRowFirstColumn="0" w:firstRowLastColumn="0" w:lastRowFirstColumn="0" w:lastRowLastColumn="0"/>
            </w:pPr>
            <w:r>
              <w:t>A hitelezőknek semmilyen befolyásuk nincs a bírósági végrehajtó személyét tekintve.</w:t>
            </w:r>
          </w:p>
          <w:p w:rsidR="001B29F9" w:rsidRDefault="001B29F9" w:rsidP="009A73FD">
            <w:pPr>
              <w:pStyle w:val="ListParagraph"/>
              <w:numPr>
                <w:ilvl w:val="0"/>
                <w:numId w:val="65"/>
              </w:numPr>
              <w:spacing w:after="150"/>
              <w:ind w:left="278" w:hanging="278"/>
              <w:jc w:val="both"/>
              <w:cnfStyle w:val="000000000000" w:firstRow="0" w:lastRow="0" w:firstColumn="0" w:lastColumn="0" w:oddVBand="0" w:evenVBand="0" w:oddHBand="0" w:evenHBand="0" w:firstRowFirstColumn="0" w:firstRowLastColumn="0" w:lastRowFirstColumn="0" w:lastRowLastColumn="0"/>
            </w:pPr>
            <w:r>
              <w:t>Így a jelenlegi bírósági végrehajtó kijelölési folyamatban olyan fontos tényezőket, mint a professzionalizmus, a munkaterhelés, vagy a korábbi érintettek visszacsatolása nem lehet figyelembe venni.</w:t>
            </w:r>
          </w:p>
        </w:tc>
        <w:tc>
          <w:tcPr>
            <w:tcW w:w="2970" w:type="dxa"/>
            <w:vAlign w:val="top"/>
          </w:tcPr>
          <w:p w:rsidR="001B29F9" w:rsidRPr="0047699F" w:rsidRDefault="001B29F9" w:rsidP="009A73FD">
            <w:pPr>
              <w:pStyle w:val="ListParagraph"/>
              <w:numPr>
                <w:ilvl w:val="0"/>
                <w:numId w:val="65"/>
              </w:numPr>
              <w:spacing w:after="150"/>
              <w:ind w:left="271" w:hanging="271"/>
              <w:jc w:val="both"/>
              <w:cnfStyle w:val="000000000000" w:firstRow="0" w:lastRow="0" w:firstColumn="0" w:lastColumn="0" w:oddVBand="0" w:evenVBand="0" w:oddHBand="0" w:evenHBand="0" w:firstRowFirstColumn="0" w:firstRowLastColumn="0" w:lastRowFirstColumn="0" w:lastRowLastColumn="0"/>
            </w:pPr>
            <w:r w:rsidRPr="0047699F">
              <w:t>A hitelezőknek lehetőséget kellene biztosítani</w:t>
            </w:r>
            <w:r>
              <w:t xml:space="preserve"> arra</w:t>
            </w:r>
            <w:r w:rsidRPr="0047699F">
              <w:t xml:space="preserve">, hogy </w:t>
            </w:r>
            <w:r>
              <w:t>ők jelölhessék ki a bírósági végrehajtót bizonyos területi korlátozások keretein belül</w:t>
            </w:r>
            <w:proofErr w:type="gramStart"/>
            <w:r>
              <w:t xml:space="preserve">, </w:t>
            </w:r>
            <w:r w:rsidRPr="0047699F">
              <w:t>,</w:t>
            </w:r>
            <w:proofErr w:type="gramEnd"/>
            <w:r w:rsidRPr="0047699F">
              <w:t xml:space="preserve"> vagy</w:t>
            </w:r>
            <w:r>
              <w:t xml:space="preserve"> területi korlátozások nélkül, de az ebből fakadó </w:t>
            </w:r>
            <w:r w:rsidRPr="0047699F">
              <w:t xml:space="preserve"> többletköltség</w:t>
            </w:r>
            <w:r>
              <w:t>ek egyidejű viselése mellett</w:t>
            </w:r>
            <w:r w:rsidRPr="0047699F">
              <w:t>.</w:t>
            </w:r>
          </w:p>
          <w:p w:rsidR="001B29F9" w:rsidRPr="0047699F" w:rsidRDefault="001B29F9" w:rsidP="009A73FD">
            <w:pPr>
              <w:pStyle w:val="ListParagraph"/>
              <w:numPr>
                <w:ilvl w:val="0"/>
                <w:numId w:val="65"/>
              </w:numPr>
              <w:spacing w:after="150"/>
              <w:ind w:left="271" w:hanging="271"/>
              <w:jc w:val="both"/>
              <w:cnfStyle w:val="000000000000" w:firstRow="0" w:lastRow="0" w:firstColumn="0" w:lastColumn="0" w:oddVBand="0" w:evenVBand="0" w:oddHBand="0" w:evenHBand="0" w:firstRowFirstColumn="0" w:firstRowLastColumn="0" w:lastRowFirstColumn="0" w:lastRowLastColumn="0"/>
            </w:pPr>
            <w:r>
              <w:t xml:space="preserve">Amennyiben a kijelölési jog nem illetné meg a hitelezőket, legalább kifogásolási jogot kellene számukra biztosítani a kijelölt végrehajtó személye </w:t>
            </w:r>
            <w:proofErr w:type="gramStart"/>
            <w:r>
              <w:t xml:space="preserve">ellen </w:t>
            </w:r>
            <w:r w:rsidRPr="0047699F">
              <w:t>.</w:t>
            </w:r>
            <w:proofErr w:type="gramEnd"/>
          </w:p>
        </w:tc>
        <w:tc>
          <w:tcPr>
            <w:tcW w:w="1170"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46304" behindDoc="0" locked="0" layoutInCell="1" allowOverlap="1" wp14:anchorId="1DECD35E" wp14:editId="21757340">
                      <wp:simplePos x="0" y="0"/>
                      <wp:positionH relativeFrom="column">
                        <wp:posOffset>126365</wp:posOffset>
                      </wp:positionH>
                      <wp:positionV relativeFrom="paragraph">
                        <wp:posOffset>181610</wp:posOffset>
                      </wp:positionV>
                      <wp:extent cx="318135" cy="382270"/>
                      <wp:effectExtent l="76200" t="38100" r="62865" b="55880"/>
                      <wp:wrapNone/>
                      <wp:docPr id="178"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382270"/>
                              </a:xfrm>
                              <a:prstGeom prst="upArrow">
                                <a:avLst>
                                  <a:gd name="adj1" fmla="val 50000"/>
                                  <a:gd name="adj2" fmla="val 30040"/>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68" style="position:absolute;margin-left:9.95pt;margin-top:14.3pt;width:25.05pt;height:30.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" fillcolor="#c00000" strokecolor="#c00000" strokeweight="3pt">
                      <v:shadow on="t" color="#4c4c4c [1606]" opacity=".5" offset="1pt"/>
                      <v:textbox style="layout-flow:vertical-ideographic"/>
                    </v:shape>
                  </w:pict>
                </mc:Fallback>
              </mc:AlternateContent>
            </w:r>
          </w:p>
        </w:tc>
      </w:tr>
      <w:tr w:rsidR="001B29F9" w:rsidTr="005B075A">
        <w:tc>
          <w:tcPr>
            <w:cnfStyle w:val="001000000000" w:firstRow="0" w:lastRow="0" w:firstColumn="1" w:lastColumn="0" w:oddVBand="0" w:evenVBand="0" w:oddHBand="0" w:evenHBand="0" w:firstRowFirstColumn="0" w:firstRowLastColumn="0" w:lastRowFirstColumn="0" w:lastRowLastColumn="0"/>
            <w:tcW w:w="2445" w:type="dxa"/>
            <w:vAlign w:val="top"/>
          </w:tcPr>
          <w:p w:rsidR="001B29F9" w:rsidRPr="001C7F5D" w:rsidRDefault="001B29F9" w:rsidP="001C7F5D">
            <w:pPr>
              <w:pStyle w:val="ListParagraph"/>
              <w:numPr>
                <w:ilvl w:val="0"/>
                <w:numId w:val="83"/>
              </w:numPr>
              <w:spacing w:after="150"/>
              <w:jc w:val="both"/>
            </w:pPr>
            <w:r w:rsidRPr="001C7F5D">
              <w:t xml:space="preserve">A vagyonfelügyelőt és a </w:t>
            </w:r>
            <w:proofErr w:type="gramStart"/>
            <w:r w:rsidRPr="001C7F5D">
              <w:t>felszámolót  a</w:t>
            </w:r>
            <w:proofErr w:type="gramEnd"/>
            <w:r w:rsidRPr="001C7F5D">
              <w:t xml:space="preserve"> bíróság egy véletlenszerű elektronikus </w:t>
            </w:r>
            <w:r w:rsidRPr="001C7F5D">
              <w:lastRenderedPageBreak/>
              <w:t>rendszer alapján jelöli ki, a csődeljárás és a felszámolás esetében egyaránt.</w:t>
            </w:r>
          </w:p>
        </w:tc>
        <w:tc>
          <w:tcPr>
            <w:tcW w:w="3063" w:type="dxa"/>
            <w:vAlign w:val="top"/>
          </w:tcPr>
          <w:p w:rsidR="001B29F9" w:rsidRDefault="001B29F9" w:rsidP="009A73FD">
            <w:pPr>
              <w:pStyle w:val="ListParagraph"/>
              <w:numPr>
                <w:ilvl w:val="0"/>
                <w:numId w:val="66"/>
              </w:numPr>
              <w:spacing w:after="150"/>
              <w:ind w:left="278" w:hanging="278"/>
              <w:jc w:val="both"/>
              <w:cnfStyle w:val="000000000000" w:firstRow="0" w:lastRow="0" w:firstColumn="0" w:lastColumn="0" w:oddVBand="0" w:evenVBand="0" w:oddHBand="0" w:evenHBand="0" w:firstRowFirstColumn="0" w:firstRowLastColumn="0" w:lastRowFirstColumn="0" w:lastRowLastColumn="0"/>
            </w:pPr>
            <w:r>
              <w:lastRenderedPageBreak/>
              <w:t xml:space="preserve">Az érintetteknek, különösen a hitelezőknek nincsen beleszólásuk a kijelölési folyamatba, valamint nincs </w:t>
            </w:r>
            <w:proofErr w:type="gramStart"/>
            <w:r>
              <w:lastRenderedPageBreak/>
              <w:t>lehetőségük  visszajelzést</w:t>
            </w:r>
            <w:proofErr w:type="gramEnd"/>
            <w:r>
              <w:t xml:space="preserve"> adni annak kapcsán . Néhány vagyonfelügyelő/felszámoló sajnos emiatt is nem motivált arra, hogy a legmagasabb szakmai standardoknak megfelelően végezze munkáját.</w:t>
            </w:r>
          </w:p>
        </w:tc>
        <w:tc>
          <w:tcPr>
            <w:tcW w:w="2970" w:type="dxa"/>
            <w:vAlign w:val="top"/>
          </w:tcPr>
          <w:p w:rsidR="001B29F9" w:rsidRDefault="001B29F9" w:rsidP="009A73FD">
            <w:pPr>
              <w:pStyle w:val="ListParagraph"/>
              <w:numPr>
                <w:ilvl w:val="0"/>
                <w:numId w:val="66"/>
              </w:numPr>
              <w:spacing w:after="150"/>
              <w:ind w:left="318" w:hanging="284"/>
              <w:jc w:val="both"/>
              <w:cnfStyle w:val="000000000000" w:firstRow="0" w:lastRow="0" w:firstColumn="0" w:lastColumn="0" w:oddVBand="0" w:evenVBand="0" w:oddHBand="0" w:evenHBand="0" w:firstRowFirstColumn="0" w:firstRowLastColumn="0" w:lastRowFirstColumn="0" w:lastRowLastColumn="0"/>
            </w:pPr>
            <w:r>
              <w:lastRenderedPageBreak/>
              <w:t xml:space="preserve">A jelenlegi kijelölő rendszert felül kellene vizsgálni annak érdekében, hogy a hitelezőknek több </w:t>
            </w:r>
            <w:r>
              <w:lastRenderedPageBreak/>
              <w:t xml:space="preserve">lehetősége legyen visszajelzést </w:t>
            </w:r>
            <w:proofErr w:type="gramStart"/>
            <w:r>
              <w:t>adni .</w:t>
            </w:r>
            <w:proofErr w:type="gramEnd"/>
          </w:p>
          <w:p w:rsidR="001B29F9" w:rsidRDefault="001B29F9" w:rsidP="009A73FD">
            <w:pPr>
              <w:pStyle w:val="ListParagraph"/>
              <w:numPr>
                <w:ilvl w:val="0"/>
                <w:numId w:val="66"/>
              </w:numPr>
              <w:spacing w:after="150"/>
              <w:ind w:left="318" w:hanging="284"/>
              <w:jc w:val="both"/>
              <w:cnfStyle w:val="000000000000" w:firstRow="0" w:lastRow="0" w:firstColumn="0" w:lastColumn="0" w:oddVBand="0" w:evenVBand="0" w:oddHBand="0" w:evenHBand="0" w:firstRowFirstColumn="0" w:firstRowLastColumn="0" w:lastRowFirstColumn="0" w:lastRowLastColumn="0"/>
            </w:pPr>
            <w:r>
              <w:t xml:space="preserve">Megfontolandó az, hogy a jelenlegi véletlenszerű eljárás felváltásra kerüljön, és egy, a bíróság általi közvetlen kijelölés vegye át a helyét, jelentős mértékben figyelembe véve a hitelezők visszajelzéseit. Így az érintettek megkapnák a lehetőséget, hogy a lehető legjobb képességű vagyonfelügyelőkkel és felszámolókkal dolgozzanak együtt. </w:t>
            </w:r>
          </w:p>
          <w:p w:rsidR="001B29F9" w:rsidRDefault="001B29F9" w:rsidP="009A73FD">
            <w:pPr>
              <w:pStyle w:val="ListParagraph"/>
              <w:numPr>
                <w:ilvl w:val="0"/>
                <w:numId w:val="66"/>
              </w:numPr>
              <w:spacing w:after="150"/>
              <w:ind w:left="318" w:hanging="284"/>
              <w:jc w:val="both"/>
              <w:cnfStyle w:val="000000000000" w:firstRow="0" w:lastRow="0" w:firstColumn="0" w:lastColumn="0" w:oddVBand="0" w:evenVBand="0" w:oddHBand="0" w:evenHBand="0" w:firstRowFirstColumn="0" w:firstRowLastColumn="0" w:lastRowFirstColumn="0" w:lastRowLastColumn="0"/>
            </w:pPr>
            <w:r>
              <w:t>Ezen felül a hitelezőknek szélesebb jogkört kellene biztosítani abban, hogy a nem megfelelően teljesítő vagyonfelügyelőket és felszámolókat leváltsák a folyamatban lévő eljárásokban.</w:t>
            </w:r>
          </w:p>
        </w:tc>
        <w:tc>
          <w:tcPr>
            <w:tcW w:w="1170"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w:lastRenderedPageBreak/>
              <mc:AlternateContent>
                <mc:Choice Requires="wps">
                  <w:drawing>
                    <wp:anchor distT="0" distB="0" distL="114300" distR="114300" simplePos="0" relativeHeight="251747328" behindDoc="0" locked="0" layoutInCell="1" allowOverlap="1" wp14:anchorId="31D31746" wp14:editId="0A3094AD">
                      <wp:simplePos x="0" y="0"/>
                      <wp:positionH relativeFrom="column">
                        <wp:posOffset>30480</wp:posOffset>
                      </wp:positionH>
                      <wp:positionV relativeFrom="paragraph">
                        <wp:posOffset>-274955</wp:posOffset>
                      </wp:positionV>
                      <wp:extent cx="499745" cy="579755"/>
                      <wp:effectExtent l="76200" t="38100" r="52705" b="48895"/>
                      <wp:wrapNone/>
                      <wp:docPr id="17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79755"/>
                              </a:xfrm>
                              <a:prstGeom prst="upArrow">
                                <a:avLst>
                                  <a:gd name="adj1" fmla="val 50000"/>
                                  <a:gd name="adj2" fmla="val 29003"/>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 o:spid="_x0000_s1026" type="#_x0000_t68" style="position:absolute;margin-left:2.4pt;margin-top:-21.65pt;width:39.35pt;height:45.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" fillcolor="#c00000" strokecolor="#c00000" strokeweight="3pt">
                      <v:shadow on="t" color="#4c4c4c [1606]" opacity=".5" offset="1pt"/>
                      <v:textbox style="layout-flow:vertical-ideographic"/>
                    </v:shape>
                  </w:pict>
                </mc:Fallback>
              </mc:AlternateContent>
            </w:r>
          </w:p>
        </w:tc>
      </w:tr>
      <w:tr w:rsidR="001B29F9" w:rsidTr="005B075A">
        <w:tc>
          <w:tcPr>
            <w:cnfStyle w:val="001000000000" w:firstRow="0" w:lastRow="0" w:firstColumn="1" w:lastColumn="0" w:oddVBand="0" w:evenVBand="0" w:oddHBand="0" w:evenHBand="0" w:firstRowFirstColumn="0" w:firstRowLastColumn="0" w:lastRowFirstColumn="0" w:lastRowLastColumn="0"/>
            <w:tcW w:w="2445" w:type="dxa"/>
            <w:vAlign w:val="top"/>
          </w:tcPr>
          <w:p w:rsidR="001B29F9" w:rsidRPr="001C7F5D" w:rsidRDefault="001B29F9" w:rsidP="001C7F5D">
            <w:pPr>
              <w:pStyle w:val="ListParagraph"/>
              <w:numPr>
                <w:ilvl w:val="0"/>
                <w:numId w:val="84"/>
              </w:numPr>
              <w:spacing w:after="150"/>
              <w:jc w:val="both"/>
            </w:pPr>
            <w:r w:rsidRPr="001C7F5D">
              <w:lastRenderedPageBreak/>
              <w:t>A felszámolás kezdő időpontját követően kizárólag a felszámoló jogosult az adós vagyona felett rendelkezni, és kizárólag ő jogosult az eljárás lefolytatására.</w:t>
            </w:r>
          </w:p>
        </w:tc>
        <w:tc>
          <w:tcPr>
            <w:tcW w:w="3063" w:type="dxa"/>
            <w:vAlign w:val="top"/>
          </w:tcPr>
          <w:p w:rsidR="001B29F9" w:rsidRDefault="001B29F9" w:rsidP="009A73FD">
            <w:pPr>
              <w:pStyle w:val="ListParagraph"/>
              <w:numPr>
                <w:ilvl w:val="0"/>
                <w:numId w:val="67"/>
              </w:numPr>
              <w:spacing w:after="150"/>
              <w:ind w:left="278" w:hanging="278"/>
              <w:jc w:val="both"/>
              <w:cnfStyle w:val="000000000000" w:firstRow="0" w:lastRow="0" w:firstColumn="0" w:lastColumn="0" w:oddVBand="0" w:evenVBand="0" w:oddHBand="0" w:evenHBand="0" w:firstRowFirstColumn="0" w:firstRowLastColumn="0" w:lastRowFirstColumn="0" w:lastRowLastColumn="0"/>
            </w:pPr>
            <w:r>
              <w:t xml:space="preserve">Néhány felszámoló nem biztosítja </w:t>
            </w:r>
            <w:proofErr w:type="gramStart"/>
            <w:r>
              <w:t>a  megfelelő</w:t>
            </w:r>
            <w:proofErr w:type="gramEnd"/>
            <w:r>
              <w:t xml:space="preserve"> transzparenciát, és általánosságban kevés információ jut el a hitelezőkhöz a folyamatot illetően.</w:t>
            </w:r>
          </w:p>
          <w:p w:rsidR="001B29F9" w:rsidRDefault="001B29F9" w:rsidP="009A73FD">
            <w:pPr>
              <w:pStyle w:val="ListParagraph"/>
              <w:numPr>
                <w:ilvl w:val="0"/>
                <w:numId w:val="67"/>
              </w:numPr>
              <w:spacing w:after="150"/>
              <w:ind w:left="278" w:hanging="278"/>
              <w:jc w:val="both"/>
              <w:cnfStyle w:val="000000000000" w:firstRow="0" w:lastRow="0" w:firstColumn="0" w:lastColumn="0" w:oddVBand="0" w:evenVBand="0" w:oddHBand="0" w:evenHBand="0" w:firstRowFirstColumn="0" w:firstRowLastColumn="0" w:lastRowFirstColumn="0" w:lastRowLastColumn="0"/>
            </w:pPr>
            <w:r>
              <w:t>Mind a biztosított, mind a nem biztosított hitelezők gyenge kontrollal rendelkeznek a fizetésképtelenségi eljárás során, különösen a vagyontárgyak értékesítése kapcsán.</w:t>
            </w:r>
          </w:p>
          <w:p w:rsidR="001B29F9" w:rsidRDefault="001B29F9" w:rsidP="009A73FD">
            <w:pPr>
              <w:pStyle w:val="ListParagraph"/>
              <w:numPr>
                <w:ilvl w:val="0"/>
                <w:numId w:val="67"/>
              </w:numPr>
              <w:spacing w:after="150"/>
              <w:ind w:left="278" w:hanging="278"/>
              <w:jc w:val="both"/>
              <w:cnfStyle w:val="000000000000" w:firstRow="0" w:lastRow="0" w:firstColumn="0" w:lastColumn="0" w:oddVBand="0" w:evenVBand="0" w:oddHBand="0" w:evenHBand="0" w:firstRowFirstColumn="0" w:firstRowLastColumn="0" w:lastRowFirstColumn="0" w:lastRowLastColumn="0"/>
            </w:pPr>
            <w:r>
              <w:t xml:space="preserve">A felszámolási eljárás lefolytatására vonatkozó részletes törvényi szabályok hiányában az egyes  </w:t>
            </w:r>
            <w:proofErr w:type="spellStart"/>
            <w:r>
              <w:t>felszámolókhozzáállása</w:t>
            </w:r>
            <w:proofErr w:type="spellEnd"/>
            <w:r>
              <w:t xml:space="preserve"> gyakran meglehetősen eltér az egyes </w:t>
            </w:r>
            <w:proofErr w:type="gramStart"/>
            <w:r>
              <w:t>eljárásokban .</w:t>
            </w:r>
            <w:proofErr w:type="gramEnd"/>
          </w:p>
        </w:tc>
        <w:tc>
          <w:tcPr>
            <w:tcW w:w="2970" w:type="dxa"/>
            <w:vAlign w:val="top"/>
          </w:tcPr>
          <w:p w:rsidR="001B29F9" w:rsidRDefault="001B29F9" w:rsidP="009A73FD">
            <w:pPr>
              <w:pStyle w:val="ListParagraph"/>
              <w:numPr>
                <w:ilvl w:val="0"/>
                <w:numId w:val="67"/>
              </w:numPr>
              <w:spacing w:after="150"/>
              <w:ind w:left="317" w:hanging="284"/>
              <w:jc w:val="both"/>
              <w:cnfStyle w:val="000000000000" w:firstRow="0" w:lastRow="0" w:firstColumn="0" w:lastColumn="0" w:oddVBand="0" w:evenVBand="0" w:oddHBand="0" w:evenHBand="0" w:firstRowFirstColumn="0" w:firstRowLastColumn="0" w:lastRowFirstColumn="0" w:lastRowLastColumn="0"/>
            </w:pPr>
            <w:r>
              <w:t xml:space="preserve">A felszámoló valamennyi hitelező felé </w:t>
            </w:r>
            <w:proofErr w:type="spellStart"/>
            <w:r>
              <w:t>fennállótájékoztatási</w:t>
            </w:r>
            <w:proofErr w:type="spellEnd"/>
            <w:r>
              <w:t xml:space="preserve"> kötelezettsége megerősítésre szorul.</w:t>
            </w:r>
          </w:p>
          <w:p w:rsidR="001B29F9" w:rsidRDefault="001B29F9" w:rsidP="009A73FD">
            <w:pPr>
              <w:pStyle w:val="ListParagraph"/>
              <w:numPr>
                <w:ilvl w:val="0"/>
                <w:numId w:val="67"/>
              </w:numPr>
              <w:spacing w:after="150"/>
              <w:ind w:left="317" w:hanging="284"/>
              <w:jc w:val="both"/>
              <w:cnfStyle w:val="000000000000" w:firstRow="0" w:lastRow="0" w:firstColumn="0" w:lastColumn="0" w:oddVBand="0" w:evenVBand="0" w:oddHBand="0" w:evenHBand="0" w:firstRowFirstColumn="0" w:firstRowLastColumn="0" w:lastRowFirstColumn="0" w:lastRowLastColumn="0"/>
            </w:pPr>
            <w:r>
              <w:rPr>
                <w:noProof/>
              </w:rPr>
              <w:t>A</w:t>
            </w:r>
            <w:r>
              <w:t xml:space="preserve"> törvényi szabályozásnak részletesebben kellene tartalmaznia a felszámolók vagyontárgyak értékesítésére vonatkozó kötelezettségeit, ezen kívül a szóban </w:t>
            </w:r>
            <w:proofErr w:type="gramStart"/>
            <w:r>
              <w:t>forgó  kötelezettségek</w:t>
            </w:r>
            <w:proofErr w:type="gramEnd"/>
            <w:r>
              <w:t xml:space="preserve"> teljesítésére megfelelő határidőt is elő kellene írnia .</w:t>
            </w:r>
          </w:p>
          <w:p w:rsidR="001B29F9" w:rsidRDefault="001B29F9" w:rsidP="009A73FD">
            <w:pPr>
              <w:pStyle w:val="ListParagraph"/>
              <w:numPr>
                <w:ilvl w:val="0"/>
                <w:numId w:val="67"/>
              </w:numPr>
              <w:spacing w:after="150"/>
              <w:ind w:left="317" w:hanging="284"/>
              <w:jc w:val="both"/>
              <w:cnfStyle w:val="000000000000" w:firstRow="0" w:lastRow="0" w:firstColumn="0" w:lastColumn="0" w:oddVBand="0" w:evenVBand="0" w:oddHBand="0" w:evenHBand="0" w:firstRowFirstColumn="0" w:firstRowLastColumn="0" w:lastRowFirstColumn="0" w:lastRowLastColumn="0"/>
            </w:pPr>
            <w:r>
              <w:t xml:space="preserve">Megfontolandó, hogy a nem biztosított hitelezőknek legyen joga a biztosítékkal </w:t>
            </w:r>
            <w:r>
              <w:lastRenderedPageBreak/>
              <w:t>nem terhelt vagyontárgyak értékesítésével kapcsolatos terv előzetes elfogadására (többségi szavazással) más európai országok szabályozásához hasonlóan.</w:t>
            </w:r>
          </w:p>
        </w:tc>
        <w:tc>
          <w:tcPr>
            <w:tcW w:w="1170"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w:lastRenderedPageBreak/>
              <mc:AlternateContent>
                <mc:Choice Requires="wps">
                  <w:drawing>
                    <wp:anchor distT="0" distB="0" distL="114300" distR="114300" simplePos="0" relativeHeight="251759616" behindDoc="0" locked="0" layoutInCell="1" allowOverlap="1" wp14:anchorId="04C465D3" wp14:editId="7D83133C">
                      <wp:simplePos x="0" y="0"/>
                      <wp:positionH relativeFrom="column">
                        <wp:posOffset>46355</wp:posOffset>
                      </wp:positionH>
                      <wp:positionV relativeFrom="paragraph">
                        <wp:posOffset>-1905</wp:posOffset>
                      </wp:positionV>
                      <wp:extent cx="499745" cy="579755"/>
                      <wp:effectExtent l="76200" t="38100" r="52705" b="48895"/>
                      <wp:wrapNone/>
                      <wp:docPr id="17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79755"/>
                              </a:xfrm>
                              <a:prstGeom prst="upArrow">
                                <a:avLst>
                                  <a:gd name="adj1" fmla="val 50000"/>
                                  <a:gd name="adj2" fmla="val 29003"/>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9" o:spid="_x0000_s1026" type="#_x0000_t68" style="position:absolute;margin-left:3.65pt;margin-top:-.15pt;width:39.35pt;height:4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" fillcolor="#c00000" strokecolor="#c00000" strokeweight="3pt">
                      <v:shadow on="t" color="#4c4c4c [1606]" opacity=".5" offset="1pt"/>
                      <v:textbox style="layout-flow:vertical-ideographic"/>
                    </v:shape>
                  </w:pict>
                </mc:Fallback>
              </mc:AlternateContent>
            </w:r>
          </w:p>
        </w:tc>
      </w:tr>
      <w:tr w:rsidR="001B29F9" w:rsidTr="005B075A">
        <w:tc>
          <w:tcPr>
            <w:cnfStyle w:val="001000000000" w:firstRow="0" w:lastRow="0" w:firstColumn="1" w:lastColumn="0" w:oddVBand="0" w:evenVBand="0" w:oddHBand="0" w:evenHBand="0" w:firstRowFirstColumn="0" w:firstRowLastColumn="0" w:lastRowFirstColumn="0" w:lastRowLastColumn="0"/>
            <w:tcW w:w="2445" w:type="dxa"/>
            <w:vAlign w:val="top"/>
          </w:tcPr>
          <w:p w:rsidR="001B29F9" w:rsidRPr="001C7F5D" w:rsidRDefault="001B29F9" w:rsidP="001C7F5D">
            <w:pPr>
              <w:pStyle w:val="ListParagraph"/>
              <w:numPr>
                <w:ilvl w:val="0"/>
                <w:numId w:val="85"/>
              </w:numPr>
              <w:spacing w:after="150"/>
              <w:jc w:val="both"/>
            </w:pPr>
            <w:r w:rsidRPr="001C7F5D">
              <w:lastRenderedPageBreak/>
              <w:t>A felszámoló a zálogtárgy értékesítése során befolyt vételárból kizárólag a zálogtárgy megőrzésének, állagmegóvásának, értékesítésének költségeit, valamint a felszámolói díjat vonhatja le.</w:t>
            </w:r>
          </w:p>
          <w:p w:rsidR="001B29F9" w:rsidRPr="001C7F5D" w:rsidRDefault="001B29F9" w:rsidP="001C7F5D">
            <w:pPr>
              <w:pStyle w:val="ListParagraph"/>
              <w:numPr>
                <w:ilvl w:val="0"/>
                <w:numId w:val="86"/>
              </w:numPr>
              <w:spacing w:after="150"/>
              <w:jc w:val="both"/>
            </w:pPr>
            <w:r w:rsidRPr="001C7F5D">
              <w:t>A fennmaradó összeget a felszámoló a zálogjoggal biztosított követelés jogosultja részére az értékesítést követően haladéktalanul köteles kiadni.</w:t>
            </w:r>
          </w:p>
        </w:tc>
        <w:tc>
          <w:tcPr>
            <w:tcW w:w="3063" w:type="dxa"/>
            <w:vAlign w:val="top"/>
          </w:tcPr>
          <w:p w:rsidR="001B29F9" w:rsidRDefault="001B29F9" w:rsidP="009A73FD">
            <w:pPr>
              <w:pStyle w:val="ListParagraph"/>
              <w:numPr>
                <w:ilvl w:val="0"/>
                <w:numId w:val="67"/>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A </w:t>
            </w:r>
            <w:proofErr w:type="gramStart"/>
            <w:r>
              <w:t>biztosított  hitelezők</w:t>
            </w:r>
            <w:proofErr w:type="gramEnd"/>
            <w:r>
              <w:t xml:space="preserve"> különleges helyzete ellenére nincsen semmilyen külön joguk a zálogtárgy értékesítését tekintve, és a tapasztalatok szerint semmilyen beleszólásuk nincsen az értékesítési folyamatba.</w:t>
            </w:r>
          </w:p>
          <w:p w:rsidR="001B29F9" w:rsidRDefault="001B29F9" w:rsidP="009A73FD">
            <w:pPr>
              <w:pStyle w:val="ListParagraph"/>
              <w:numPr>
                <w:ilvl w:val="0"/>
                <w:numId w:val="67"/>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Érdekütközés figyelhető meg a biztosított és nem biztosított hitelezők között, hiszen míg az előbbiek a zálogtárgyak minél hamarabbi értékesítését szeretnék, addig az utóbbiak az adós működésének fenntartásában lennének inkább érdekeltek. </w:t>
            </w:r>
          </w:p>
        </w:tc>
        <w:tc>
          <w:tcPr>
            <w:tcW w:w="2970" w:type="dxa"/>
            <w:vAlign w:val="top"/>
          </w:tcPr>
          <w:p w:rsidR="001B29F9" w:rsidRDefault="001B29F9" w:rsidP="009A73FD">
            <w:pPr>
              <w:pStyle w:val="ListParagraph"/>
              <w:numPr>
                <w:ilvl w:val="0"/>
                <w:numId w:val="67"/>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biztosított hitelezőknek nagyobb befolyással kellene rendelkezniük a zálogtárgyak eladását illetően (időzítés, becsérték), és jogot kellene biztosítani számukra az értékesítésben történő részvételre.</w:t>
            </w:r>
          </w:p>
          <w:p w:rsidR="001B29F9" w:rsidRDefault="001B29F9" w:rsidP="009A73FD">
            <w:pPr>
              <w:pStyle w:val="ListParagraph"/>
              <w:numPr>
                <w:ilvl w:val="0"/>
                <w:numId w:val="67"/>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Megfontolandó egy</w:t>
            </w:r>
            <w:proofErr w:type="gramStart"/>
            <w:r>
              <w:t>,  a</w:t>
            </w:r>
            <w:proofErr w:type="gramEnd"/>
            <w:r>
              <w:t xml:space="preserve"> biztosított hitelezők számára fennálló külön eljárás bevezetése , mely szerint a felszámolónak minden zálogtárgy értékesítése előtt be kellene szereznie az érintett hitelezők előzetes engedélyét és véleményét,  illetve  a biztosított hitelezőknek lehetőséget biztosítana annak eldöntésére, hogy a zálogtárgyakat a felszámolási eljárás kezdetekor a felszámolási vagyontól elkülönítve kezeljék.</w:t>
            </w:r>
          </w:p>
          <w:p w:rsidR="001B29F9" w:rsidRDefault="001B29F9" w:rsidP="005B075A">
            <w:pPr>
              <w:ind w:left="284" w:hanging="284"/>
              <w:cnfStyle w:val="000000000000" w:firstRow="0" w:lastRow="0" w:firstColumn="0" w:lastColumn="0" w:oddVBand="0" w:evenVBand="0" w:oddHBand="0" w:evenHBand="0" w:firstRowFirstColumn="0" w:firstRowLastColumn="0" w:lastRowFirstColumn="0" w:lastRowLastColumn="0"/>
            </w:pPr>
          </w:p>
        </w:tc>
        <w:tc>
          <w:tcPr>
            <w:tcW w:w="1170" w:type="dxa"/>
          </w:tcPr>
          <w:p w:rsidR="001B29F9" w:rsidRDefault="004057CC" w:rsidP="005B075A">
            <w:pPr>
              <w:ind w:left="284" w:hanging="284"/>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48352" behindDoc="0" locked="0" layoutInCell="1" allowOverlap="1" wp14:anchorId="2885DEDB" wp14:editId="32C34D5A">
                      <wp:simplePos x="0" y="0"/>
                      <wp:positionH relativeFrom="column">
                        <wp:posOffset>-1270</wp:posOffset>
                      </wp:positionH>
                      <wp:positionV relativeFrom="paragraph">
                        <wp:posOffset>-281940</wp:posOffset>
                      </wp:positionV>
                      <wp:extent cx="499745" cy="579755"/>
                      <wp:effectExtent l="76200" t="38100" r="52705" b="48895"/>
                      <wp:wrapNone/>
                      <wp:docPr id="17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79755"/>
                              </a:xfrm>
                              <a:prstGeom prst="upArrow">
                                <a:avLst>
                                  <a:gd name="adj1" fmla="val 50000"/>
                                  <a:gd name="adj2" fmla="val 29003"/>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68" style="position:absolute;margin-left:-.1pt;margin-top:-22.2pt;width:39.35pt;height:45.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" fillcolor="#c00000" strokecolor="#c00000" strokeweight="3pt">
                      <v:shadow on="t" color="#4c4c4c [1606]" opacity=".5" offset="1pt"/>
                      <v:textbox style="layout-flow:vertical-ideographic"/>
                    </v:shape>
                  </w:pict>
                </mc:Fallback>
              </mc:AlternateContent>
            </w:r>
          </w:p>
        </w:tc>
      </w:tr>
      <w:tr w:rsidR="001B29F9" w:rsidTr="005B075A">
        <w:tc>
          <w:tcPr>
            <w:cnfStyle w:val="001000000000" w:firstRow="0" w:lastRow="0" w:firstColumn="1" w:lastColumn="0" w:oddVBand="0" w:evenVBand="0" w:oddHBand="0" w:evenHBand="0" w:firstRowFirstColumn="0" w:firstRowLastColumn="0" w:lastRowFirstColumn="0" w:lastRowLastColumn="0"/>
            <w:tcW w:w="2445" w:type="dxa"/>
          </w:tcPr>
          <w:p w:rsidR="001B29F9" w:rsidRPr="001C7F5D" w:rsidRDefault="001B29F9" w:rsidP="001C7F5D">
            <w:pPr>
              <w:pStyle w:val="ListParagraph"/>
              <w:numPr>
                <w:ilvl w:val="0"/>
                <w:numId w:val="87"/>
              </w:numPr>
              <w:spacing w:after="150"/>
              <w:jc w:val="both"/>
            </w:pPr>
            <w:r w:rsidRPr="001C7F5D">
              <w:t xml:space="preserve">A </w:t>
            </w:r>
            <w:proofErr w:type="gramStart"/>
            <w:r w:rsidRPr="001C7F5D">
              <w:t>csődegyezségben  a</w:t>
            </w:r>
            <w:proofErr w:type="gramEnd"/>
            <w:r w:rsidRPr="001C7F5D">
              <w:t xml:space="preserve"> felek megállapodhatnak többek között az adósság elengedéséről/leírásáról, a lejárat meghosszabbításáról, az adósság harmadik fél általi átvállalásáról, a követelések fejében </w:t>
            </w:r>
            <w:r w:rsidRPr="001C7F5D">
              <w:lastRenderedPageBreak/>
              <w:t>az adós gazdálkodó szervezetben részesedés szerzéséről  (</w:t>
            </w:r>
            <w:proofErr w:type="spellStart"/>
            <w:r w:rsidRPr="001C7F5D">
              <w:t>debt-to-equity</w:t>
            </w:r>
            <w:proofErr w:type="spellEnd"/>
            <w:r w:rsidRPr="001C7F5D">
              <w:t xml:space="preserve"> </w:t>
            </w:r>
            <w:proofErr w:type="spellStart"/>
            <w:r w:rsidRPr="001C7F5D">
              <w:t>swap</w:t>
            </w:r>
            <w:proofErr w:type="spellEnd"/>
            <w:r w:rsidRPr="001C7F5D">
              <w:t>), és/vagy további biztosítékok nyújtásáról.</w:t>
            </w:r>
          </w:p>
        </w:tc>
        <w:tc>
          <w:tcPr>
            <w:tcW w:w="3063" w:type="dxa"/>
          </w:tcPr>
          <w:p w:rsidR="001B29F9" w:rsidRDefault="001B29F9" w:rsidP="009A73FD">
            <w:pPr>
              <w:pStyle w:val="ListParagraph"/>
              <w:numPr>
                <w:ilvl w:val="0"/>
                <w:numId w:val="68"/>
              </w:numPr>
              <w:spacing w:after="150"/>
              <w:ind w:left="249" w:hanging="249"/>
              <w:jc w:val="both"/>
              <w:cnfStyle w:val="000000000000" w:firstRow="0" w:lastRow="0" w:firstColumn="0" w:lastColumn="0" w:oddVBand="0" w:evenVBand="0" w:oddHBand="0" w:evenHBand="0" w:firstRowFirstColumn="0" w:firstRowLastColumn="0" w:lastRowFirstColumn="0" w:lastRowLastColumn="0"/>
            </w:pPr>
            <w:r>
              <w:lastRenderedPageBreak/>
              <w:t xml:space="preserve">A </w:t>
            </w:r>
            <w:proofErr w:type="gramStart"/>
            <w:r>
              <w:t>csődegyezség  feltételeit</w:t>
            </w:r>
            <w:proofErr w:type="gramEnd"/>
            <w:r>
              <w:t xml:space="preserve">  az adós alakítja ki, a hitelezőnek azon túl, hogy elfogadhatja vagy elutasíthatja az adós javaslatait, sok beleszólása nincsen azok tartalmát illetően.</w:t>
            </w:r>
          </w:p>
          <w:p w:rsidR="001B29F9" w:rsidRDefault="001B29F9" w:rsidP="009A73FD">
            <w:pPr>
              <w:pStyle w:val="ListParagraph"/>
              <w:numPr>
                <w:ilvl w:val="0"/>
                <w:numId w:val="68"/>
              </w:numPr>
              <w:spacing w:after="150"/>
              <w:ind w:left="249" w:hanging="249"/>
              <w:jc w:val="both"/>
              <w:cnfStyle w:val="000000000000" w:firstRow="0" w:lastRow="0" w:firstColumn="0" w:lastColumn="0" w:oddVBand="0" w:evenVBand="0" w:oddHBand="0" w:evenHBand="0" w:firstRowFirstColumn="0" w:firstRowLastColumn="0" w:lastRowFirstColumn="0" w:lastRowLastColumn="0"/>
            </w:pPr>
            <w:r>
              <w:t xml:space="preserve">A </w:t>
            </w:r>
            <w:proofErr w:type="spellStart"/>
            <w:r>
              <w:t>csődegyezséga</w:t>
            </w:r>
            <w:proofErr w:type="spellEnd"/>
            <w:r>
              <w:t xml:space="preserve"> gyakorlatban leginkább a követelések elengedésére fókuszál, nem kapnak kellő </w:t>
            </w:r>
            <w:r>
              <w:lastRenderedPageBreak/>
              <w:t xml:space="preserve">hangsúlyt az egyéb </w:t>
            </w:r>
            <w:proofErr w:type="spellStart"/>
            <w:r>
              <w:t>restrukturálási</w:t>
            </w:r>
            <w:proofErr w:type="spellEnd"/>
            <w:r>
              <w:t xml:space="preserve"> megoldások, például a követelés fejében részesedés szerzése az adós </w:t>
            </w:r>
            <w:proofErr w:type="gramStart"/>
            <w:r>
              <w:t>társaságban ,</w:t>
            </w:r>
            <w:proofErr w:type="gramEnd"/>
            <w:r>
              <w:t xml:space="preserve"> mely a követelések puszta elengedésével ellentétben biztosítja a hitelezők számára az esetleges profitot a normál üzletmenet visszaállása esetében.</w:t>
            </w:r>
          </w:p>
          <w:p w:rsidR="001B29F9" w:rsidRDefault="001B29F9" w:rsidP="009A73FD">
            <w:pPr>
              <w:pStyle w:val="ListParagraph"/>
              <w:numPr>
                <w:ilvl w:val="0"/>
                <w:numId w:val="68"/>
              </w:numPr>
              <w:spacing w:after="150"/>
              <w:ind w:left="249" w:hanging="249"/>
              <w:jc w:val="both"/>
              <w:cnfStyle w:val="000000000000" w:firstRow="0" w:lastRow="0" w:firstColumn="0" w:lastColumn="0" w:oddVBand="0" w:evenVBand="0" w:oddHBand="0" w:evenHBand="0" w:firstRowFirstColumn="0" w:firstRowLastColumn="0" w:lastRowFirstColumn="0" w:lastRowLastColumn="0"/>
            </w:pPr>
            <w:r>
              <w:t xml:space="preserve">Bizonyos </w:t>
            </w:r>
            <w:proofErr w:type="spellStart"/>
            <w:r>
              <w:t>restrukturálási</w:t>
            </w:r>
            <w:proofErr w:type="spellEnd"/>
            <w:r>
              <w:t xml:space="preserve"> megoldások kikényszeríthetősége bizonytalan, mivel hiányzik az arra vonatkozó törvényi szabályozás.</w:t>
            </w:r>
          </w:p>
        </w:tc>
        <w:tc>
          <w:tcPr>
            <w:tcW w:w="2970" w:type="dxa"/>
          </w:tcPr>
          <w:p w:rsidR="001B29F9" w:rsidRDefault="001B29F9" w:rsidP="009A73FD">
            <w:pPr>
              <w:pStyle w:val="ListParagraph"/>
              <w:numPr>
                <w:ilvl w:val="0"/>
                <w:numId w:val="68"/>
              </w:numPr>
              <w:spacing w:after="150"/>
              <w:ind w:left="290" w:hanging="284"/>
              <w:jc w:val="both"/>
              <w:cnfStyle w:val="000000000000" w:firstRow="0" w:lastRow="0" w:firstColumn="0" w:lastColumn="0" w:oddVBand="0" w:evenVBand="0" w:oddHBand="0" w:evenHBand="0" w:firstRowFirstColumn="0" w:firstRowLastColumn="0" w:lastRowFirstColumn="0" w:lastRowLastColumn="0"/>
            </w:pPr>
            <w:r>
              <w:lastRenderedPageBreak/>
              <w:t xml:space="preserve">A hitelezőknek jogot kellene biztosítani arra, hogy javasolhassanak </w:t>
            </w:r>
            <w:proofErr w:type="spellStart"/>
            <w:r>
              <w:t>restrukturálási</w:t>
            </w:r>
            <w:proofErr w:type="spellEnd"/>
            <w:r>
              <w:t xml:space="preserve"> megoldásokat (pl. egyes pénzügyi vagy a gazdasági tevékenységre vonatkozó </w:t>
            </w:r>
            <w:proofErr w:type="spellStart"/>
            <w:r>
              <w:t>restrukturálási</w:t>
            </w:r>
            <w:proofErr w:type="spellEnd"/>
            <w:r>
              <w:t xml:space="preserve"> lépések, illetve az adós menedzsmentjének </w:t>
            </w:r>
            <w:r>
              <w:lastRenderedPageBreak/>
              <w:t>leváltása).</w:t>
            </w:r>
          </w:p>
          <w:p w:rsidR="001B29F9" w:rsidRDefault="001B29F9" w:rsidP="009A73FD">
            <w:pPr>
              <w:pStyle w:val="ListParagraph"/>
              <w:numPr>
                <w:ilvl w:val="0"/>
                <w:numId w:val="68"/>
              </w:numPr>
              <w:spacing w:after="150"/>
              <w:ind w:left="290" w:hanging="284"/>
              <w:jc w:val="both"/>
              <w:cnfStyle w:val="000000000000" w:firstRow="0" w:lastRow="0" w:firstColumn="0" w:lastColumn="0" w:oddVBand="0" w:evenVBand="0" w:oddHBand="0" w:evenHBand="0" w:firstRowFirstColumn="0" w:firstRowLastColumn="0" w:lastRowFirstColumn="0" w:lastRowLastColumn="0"/>
            </w:pPr>
            <w:r>
              <w:t xml:space="preserve">A szabályozásnak alaposabban ki kellene dolgoznia az egyes </w:t>
            </w:r>
            <w:proofErr w:type="spellStart"/>
            <w:r>
              <w:t>restrukturálási</w:t>
            </w:r>
            <w:proofErr w:type="spellEnd"/>
            <w:r>
              <w:t xml:space="preserve"> </w:t>
            </w:r>
            <w:proofErr w:type="gramStart"/>
            <w:r>
              <w:t>eszközökhöz  kapcsolódó</w:t>
            </w:r>
            <w:proofErr w:type="gramEnd"/>
            <w:r>
              <w:t xml:space="preserve"> követelményrendszert, és biztosítania kellene azt, hogy a </w:t>
            </w:r>
            <w:proofErr w:type="spellStart"/>
            <w:r>
              <w:t>restrukturálási</w:t>
            </w:r>
            <w:proofErr w:type="spellEnd"/>
            <w:r>
              <w:t xml:space="preserve"> eszközöket  egyszerűbb legyen végrehajtani, különösképpen a követelések fejében történő részesedésszerzést az adós társaságban. Megfontolandó annak bevezetése, hogy bizonyos feltételek esetén a jelenlegi tulajdonosok ne tudják megakadályozni a követelések fejében történő </w:t>
            </w:r>
            <w:proofErr w:type="gramStart"/>
            <w:r>
              <w:t>részesedésszerzést .</w:t>
            </w:r>
            <w:proofErr w:type="gramEnd"/>
          </w:p>
        </w:tc>
        <w:tc>
          <w:tcPr>
            <w:tcW w:w="1170"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w:lastRenderedPageBreak/>
              <mc:AlternateContent>
                <mc:Choice Requires="wps">
                  <w:drawing>
                    <wp:anchor distT="0" distB="0" distL="114300" distR="114300" simplePos="0" relativeHeight="251753472" behindDoc="0" locked="0" layoutInCell="1" allowOverlap="1" wp14:anchorId="097B4EB7" wp14:editId="5A876DDD">
                      <wp:simplePos x="0" y="0"/>
                      <wp:positionH relativeFrom="column">
                        <wp:posOffset>40005</wp:posOffset>
                      </wp:positionH>
                      <wp:positionV relativeFrom="paragraph">
                        <wp:posOffset>-411480</wp:posOffset>
                      </wp:positionV>
                      <wp:extent cx="499745" cy="579755"/>
                      <wp:effectExtent l="76200" t="38100" r="52705" b="48895"/>
                      <wp:wrapNone/>
                      <wp:docPr id="17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79755"/>
                              </a:xfrm>
                              <a:prstGeom prst="upArrow">
                                <a:avLst>
                                  <a:gd name="adj1" fmla="val 50000"/>
                                  <a:gd name="adj2" fmla="val 29003"/>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68" style="position:absolute;margin-left:3.15pt;margin-top:-32.4pt;width:39.35pt;height:45.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" fillcolor="#c00000" strokecolor="#c00000" strokeweight="3pt">
                      <v:shadow on="t" color="#4c4c4c [1606]" opacity=".5" offset="1pt"/>
                      <v:textbox style="layout-flow:vertical-ideographic"/>
                    </v:shape>
                  </w:pict>
                </mc:Fallback>
              </mc:AlternateContent>
            </w:r>
          </w:p>
        </w:tc>
      </w:tr>
      <w:tr w:rsidR="001B29F9" w:rsidTr="005B075A">
        <w:tc>
          <w:tcPr>
            <w:cnfStyle w:val="001000000000" w:firstRow="0" w:lastRow="0" w:firstColumn="1" w:lastColumn="0" w:oddVBand="0" w:evenVBand="0" w:oddHBand="0" w:evenHBand="0" w:firstRowFirstColumn="0" w:firstRowLastColumn="0" w:lastRowFirstColumn="0" w:lastRowLastColumn="0"/>
            <w:tcW w:w="2445" w:type="dxa"/>
            <w:vAlign w:val="top"/>
          </w:tcPr>
          <w:p w:rsidR="001B29F9" w:rsidRPr="001C7F5D" w:rsidRDefault="001B29F9" w:rsidP="001C7F5D">
            <w:pPr>
              <w:pStyle w:val="ListParagraph"/>
              <w:numPr>
                <w:ilvl w:val="0"/>
                <w:numId w:val="88"/>
              </w:numPr>
              <w:spacing w:after="150"/>
              <w:jc w:val="both"/>
            </w:pPr>
            <w:r w:rsidRPr="001C7F5D">
              <w:lastRenderedPageBreak/>
              <w:t xml:space="preserve">A felszámolási eljárásokat a kezdő </w:t>
            </w:r>
            <w:proofErr w:type="gramStart"/>
            <w:r w:rsidRPr="001C7F5D">
              <w:t>időpontjuktól  számított</w:t>
            </w:r>
            <w:proofErr w:type="gramEnd"/>
            <w:r w:rsidRPr="001C7F5D">
              <w:t xml:space="preserve"> 2 éven belül be kell fejezni.</w:t>
            </w:r>
          </w:p>
          <w:p w:rsidR="001B29F9" w:rsidRPr="001C7F5D" w:rsidRDefault="001B29F9" w:rsidP="001C7F5D">
            <w:pPr>
              <w:pStyle w:val="ListParagraph"/>
              <w:numPr>
                <w:ilvl w:val="0"/>
                <w:numId w:val="89"/>
              </w:numPr>
              <w:spacing w:after="150"/>
              <w:jc w:val="both"/>
            </w:pPr>
            <w:r w:rsidRPr="001C7F5D">
              <w:t>Amennyiben az adós és a hitelező között per van folyamatban, a 2 éves határidő nem áll fenn.</w:t>
            </w:r>
          </w:p>
        </w:tc>
        <w:tc>
          <w:tcPr>
            <w:tcW w:w="3063" w:type="dxa"/>
            <w:vAlign w:val="top"/>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bankok jelezték, hogy több hosszadalmas felszámolási eljárásban is részt vettek, melyek időtartama átlagosan körülbelül 4 év volt.</w:t>
            </w:r>
          </w:p>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A bírók nem tudják megfelelően </w:t>
            </w:r>
            <w:proofErr w:type="gramStart"/>
            <w:r>
              <w:t>átlátni  a</w:t>
            </w:r>
            <w:proofErr w:type="gramEnd"/>
            <w:r>
              <w:t xml:space="preserve"> felszámolási eljárásokat, valamint biztosítani az ügyek  felszámolók általi megfelelő ellátását.</w:t>
            </w:r>
          </w:p>
        </w:tc>
        <w:tc>
          <w:tcPr>
            <w:tcW w:w="2970" w:type="dxa"/>
            <w:vAlign w:val="top"/>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hitelezőknek erősebb jogokat kellene biztosítani a tekintetben, hogy felügyeljék a felszámoló tevékenységét és kifogással éljenek a felszámoló egyes cselekményei vagy mulasztásai, illetve a felszámolási ütemterv kapcsán.</w:t>
            </w:r>
          </w:p>
          <w:p w:rsidR="001B29F9" w:rsidRDefault="004057CC"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52448" behindDoc="0" locked="0" layoutInCell="1" allowOverlap="1" wp14:anchorId="188E97A5" wp14:editId="315C5F0C">
                      <wp:simplePos x="0" y="0"/>
                      <wp:positionH relativeFrom="column">
                        <wp:posOffset>1898650</wp:posOffset>
                      </wp:positionH>
                      <wp:positionV relativeFrom="paragraph">
                        <wp:posOffset>-126365</wp:posOffset>
                      </wp:positionV>
                      <wp:extent cx="499745" cy="579755"/>
                      <wp:effectExtent l="76200" t="38100" r="52705" b="48895"/>
                      <wp:wrapNone/>
                      <wp:docPr id="17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79755"/>
                              </a:xfrm>
                              <a:prstGeom prst="upArrow">
                                <a:avLst>
                                  <a:gd name="adj1" fmla="val 50000"/>
                                  <a:gd name="adj2" fmla="val 29003"/>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68" style="position:absolute;margin-left:149.5pt;margin-top:-9.95pt;width:39.35pt;height:45.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" fillcolor="#c00000" strokecolor="#c00000" strokeweight="3pt">
                      <v:shadow on="t" color="#4c4c4c [1606]" opacity=".5" offset="1pt"/>
                      <v:textbox style="layout-flow:vertical-ideographic"/>
                    </v:shape>
                  </w:pict>
                </mc:Fallback>
              </mc:AlternateContent>
            </w:r>
            <w:r w:rsidR="001B29F9">
              <w:t xml:space="preserve">Megfontolandó a felszámolókra (és a vagyonfelügyelőkre) vonatkozó szabályozás </w:t>
            </w:r>
            <w:proofErr w:type="gramStart"/>
            <w:r w:rsidR="001B29F9">
              <w:t>erősítése ,</w:t>
            </w:r>
            <w:proofErr w:type="gramEnd"/>
            <w:r w:rsidR="001B29F9">
              <w:t xml:space="preserve"> pl. a Felszámolók és Vagyonfelügyelők Országos Egyesületének kamarává történő átalakításával,  melynek szabályozó jogosultságai lennének a szakmával kapcsolatban, vagy a </w:t>
            </w:r>
            <w:r w:rsidR="001B29F9">
              <w:lastRenderedPageBreak/>
              <w:t>szabályozás más módon történő erősítése valamely  kormányzati szerven keresztül.</w:t>
            </w:r>
          </w:p>
        </w:tc>
        <w:tc>
          <w:tcPr>
            <w:tcW w:w="1170" w:type="dxa"/>
          </w:tcPr>
          <w:p w:rsidR="001B29F9" w:rsidRDefault="001B29F9" w:rsidP="005B075A">
            <w:pPr>
              <w:cnfStyle w:val="000000000000" w:firstRow="0" w:lastRow="0" w:firstColumn="0" w:lastColumn="0" w:oddVBand="0" w:evenVBand="0" w:oddHBand="0" w:evenHBand="0" w:firstRowFirstColumn="0" w:firstRowLastColumn="0" w:lastRowFirstColumn="0" w:lastRowLastColumn="0"/>
            </w:pPr>
          </w:p>
        </w:tc>
      </w:tr>
      <w:tr w:rsidR="001B29F9" w:rsidTr="005B075A">
        <w:tc>
          <w:tcPr>
            <w:cnfStyle w:val="001000000000" w:firstRow="0" w:lastRow="0" w:firstColumn="1" w:lastColumn="0" w:oddVBand="0" w:evenVBand="0" w:oddHBand="0" w:evenHBand="0" w:firstRowFirstColumn="0" w:firstRowLastColumn="0" w:lastRowFirstColumn="0" w:lastRowLastColumn="0"/>
            <w:tcW w:w="2445" w:type="dxa"/>
            <w:vAlign w:val="top"/>
          </w:tcPr>
          <w:p w:rsidR="001B29F9" w:rsidRPr="001C7F5D" w:rsidRDefault="001B29F9" w:rsidP="001C7F5D">
            <w:pPr>
              <w:pStyle w:val="ListParagraph"/>
              <w:numPr>
                <w:ilvl w:val="0"/>
                <w:numId w:val="89"/>
              </w:numPr>
              <w:spacing w:after="150"/>
              <w:jc w:val="both"/>
            </w:pPr>
            <w:r w:rsidRPr="001C7F5D">
              <w:lastRenderedPageBreak/>
              <w:t>A végrehajtás során felmerülő költségeket a végrehajtást kérő köteles megelőlegezni.</w:t>
            </w:r>
          </w:p>
        </w:tc>
        <w:tc>
          <w:tcPr>
            <w:tcW w:w="3063" w:type="dxa"/>
            <w:vAlign w:val="top"/>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Az eljárás kezdeményezésének pillanatában a végrehajtást kérő még nem biztos, hogy elegendő információval rendelkezik ahhoz, hogy megjósolja az eljárás sikerességét. Éppen ezért nem tudhatja előre, hogy megéri-e a felmerülő költségeket (melyek jelentősek lehetnek) megelőlegezni.</w:t>
            </w:r>
          </w:p>
        </w:tc>
        <w:tc>
          <w:tcPr>
            <w:tcW w:w="2970" w:type="dxa"/>
            <w:vAlign w:val="top"/>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korábban létező előzetes eljárást újra be lehetne vezetni, hogy a végrehajtható okirattal rendelkező hitelezőknek legyen lehetőségük a megfelelő információkat megszerezni (természetesen a megfelelő adatvédelmi garanciák mellett az adós számára), mielőtt megelőlegezik a bírósági végrehajtó költségeit.</w:t>
            </w:r>
          </w:p>
        </w:tc>
        <w:tc>
          <w:tcPr>
            <w:tcW w:w="1170"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51424" behindDoc="0" locked="0" layoutInCell="1" allowOverlap="1" wp14:anchorId="3FB71B7D" wp14:editId="6EA652DD">
                      <wp:simplePos x="0" y="0"/>
                      <wp:positionH relativeFrom="column">
                        <wp:posOffset>170180</wp:posOffset>
                      </wp:positionH>
                      <wp:positionV relativeFrom="paragraph">
                        <wp:posOffset>-418465</wp:posOffset>
                      </wp:positionV>
                      <wp:extent cx="318135" cy="382270"/>
                      <wp:effectExtent l="76200" t="38100" r="62865" b="55880"/>
                      <wp:wrapNone/>
                      <wp:docPr id="47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382270"/>
                              </a:xfrm>
                              <a:prstGeom prst="upArrow">
                                <a:avLst>
                                  <a:gd name="adj1" fmla="val 50000"/>
                                  <a:gd name="adj2" fmla="val 30040"/>
                                </a:avLst>
                              </a:prstGeom>
                              <a:noFill/>
                              <a:ln w="38100" cmpd="sng">
                                <a:solidFill>
                                  <a:schemeClr val="tx1">
                                    <a:lumMod val="100000"/>
                                    <a:lumOff val="0"/>
                                  </a:schemeClr>
                                </a:solidFill>
                                <a:prstDash val="solid"/>
                                <a:miter lim="800000"/>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solidFill>
                                      <a:srgbClr val="C00000"/>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68" style="position:absolute;margin-left:13.4pt;margin-top:-32.95pt;width:25.05pt;height:30.1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" filled="f" fillcolor="#c00000" strokecolor="black [3213]" strokeweight="3pt">
                      <v:shadow on="t" color="#4c4c4c [1606]" opacity=".5" offset="1pt"/>
                      <v:textbox style="layout-flow:vertical-ideographic"/>
                    </v:shape>
                  </w:pict>
                </mc:Fallback>
              </mc:AlternateContent>
            </w:r>
          </w:p>
        </w:tc>
      </w:tr>
      <w:tr w:rsidR="001B29F9" w:rsidTr="005B075A">
        <w:tc>
          <w:tcPr>
            <w:cnfStyle w:val="001000000000" w:firstRow="0" w:lastRow="0" w:firstColumn="1" w:lastColumn="0" w:oddVBand="0" w:evenVBand="0" w:oddHBand="0" w:evenHBand="0" w:firstRowFirstColumn="0" w:firstRowLastColumn="0" w:lastRowFirstColumn="0" w:lastRowLastColumn="0"/>
            <w:tcW w:w="2445" w:type="dxa"/>
            <w:vAlign w:val="top"/>
          </w:tcPr>
          <w:p w:rsidR="001B29F9" w:rsidRPr="001C7F5D" w:rsidRDefault="001B29F9" w:rsidP="001C7F5D">
            <w:pPr>
              <w:pStyle w:val="ListParagraph"/>
              <w:numPr>
                <w:ilvl w:val="0"/>
                <w:numId w:val="89"/>
              </w:numPr>
              <w:spacing w:after="150"/>
              <w:jc w:val="both"/>
            </w:pPr>
            <w:r w:rsidRPr="001C7F5D">
              <w:t xml:space="preserve">Amennyiben a felek az árverésen kívüli eladásban nem egyeznek </w:t>
            </w:r>
            <w:proofErr w:type="gramStart"/>
            <w:r w:rsidRPr="001C7F5D">
              <w:t>meg ,</w:t>
            </w:r>
            <w:proofErr w:type="gramEnd"/>
            <w:r w:rsidRPr="001C7F5D">
              <w:t xml:space="preserve"> a vagyontárgyminden esetben árverésen kerül értékesítésre a bírósági végrehajtó által, mely a Magyar Bírósági Végrehajtói Kamara által működtetett elektronikus rendszeren keresztül valósítható meg.</w:t>
            </w:r>
          </w:p>
        </w:tc>
        <w:tc>
          <w:tcPr>
            <w:tcW w:w="3063" w:type="dxa"/>
            <w:vAlign w:val="top"/>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Az érintettek jelezték, hogy a gyakorlatban </w:t>
            </w:r>
            <w:proofErr w:type="gramStart"/>
            <w:r>
              <w:t>a  weboldal</w:t>
            </w:r>
            <w:proofErr w:type="gramEnd"/>
            <w:r>
              <w:t xml:space="preserve"> használata bonyolult.</w:t>
            </w:r>
          </w:p>
        </w:tc>
        <w:tc>
          <w:tcPr>
            <w:tcW w:w="2970" w:type="dxa"/>
            <w:vAlign w:val="top"/>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hitelezőknek biztosítani kellene a jogot arra, hogy rendszeres visszajelzést adhassanak az elektronikus rendszerrel kapcsolatban, és minden lehetséges fejlesztést megfontolna a Kamara.</w:t>
            </w:r>
          </w:p>
        </w:tc>
        <w:tc>
          <w:tcPr>
            <w:tcW w:w="1170"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50400" behindDoc="0" locked="0" layoutInCell="1" allowOverlap="1" wp14:anchorId="7DC5DAEC" wp14:editId="2A6C8C7E">
                      <wp:simplePos x="0" y="0"/>
                      <wp:positionH relativeFrom="column">
                        <wp:posOffset>120650</wp:posOffset>
                      </wp:positionH>
                      <wp:positionV relativeFrom="paragraph">
                        <wp:posOffset>20320</wp:posOffset>
                      </wp:positionV>
                      <wp:extent cx="318135" cy="382270"/>
                      <wp:effectExtent l="76200" t="38100" r="62865" b="55880"/>
                      <wp:wrapNone/>
                      <wp:docPr id="47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382270"/>
                              </a:xfrm>
                              <a:prstGeom prst="upArrow">
                                <a:avLst>
                                  <a:gd name="adj1" fmla="val 50000"/>
                                  <a:gd name="adj2" fmla="val 30040"/>
                                </a:avLst>
                              </a:prstGeom>
                              <a:noFill/>
                              <a:ln w="38100" cmpd="sng">
                                <a:solidFill>
                                  <a:schemeClr val="tx1">
                                    <a:lumMod val="100000"/>
                                    <a:lumOff val="0"/>
                                  </a:schemeClr>
                                </a:solidFill>
                                <a:prstDash val="solid"/>
                                <a:miter lim="800000"/>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solidFill>
                                      <a:srgbClr val="C00000"/>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68" style="position:absolute;margin-left:9.5pt;margin-top:1.6pt;width:25.05pt;height:30.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" filled="f" fillcolor="#c00000" strokecolor="black [3213]" strokeweight="3pt">
                      <v:shadow on="t" color="#4c4c4c [1606]" opacity=".5" offset="1pt"/>
                      <v:textbox style="layout-flow:vertical-ideographic"/>
                    </v:shape>
                  </w:pict>
                </mc:Fallback>
              </mc:AlternateContent>
            </w:r>
          </w:p>
        </w:tc>
      </w:tr>
      <w:tr w:rsidR="001B29F9" w:rsidTr="005B075A">
        <w:tc>
          <w:tcPr>
            <w:cnfStyle w:val="001000000000" w:firstRow="0" w:lastRow="0" w:firstColumn="1" w:lastColumn="0" w:oddVBand="0" w:evenVBand="0" w:oddHBand="0" w:evenHBand="0" w:firstRowFirstColumn="0" w:firstRowLastColumn="0" w:lastRowFirstColumn="0" w:lastRowLastColumn="0"/>
            <w:tcW w:w="2445" w:type="dxa"/>
            <w:vAlign w:val="top"/>
          </w:tcPr>
          <w:p w:rsidR="001B29F9" w:rsidRPr="001C7F5D" w:rsidRDefault="001B29F9" w:rsidP="001C7F5D">
            <w:pPr>
              <w:pStyle w:val="ListParagraph"/>
              <w:numPr>
                <w:ilvl w:val="0"/>
                <w:numId w:val="89"/>
              </w:numPr>
              <w:spacing w:after="150"/>
              <w:jc w:val="both"/>
            </w:pPr>
            <w:r w:rsidRPr="001C7F5D">
              <w:t xml:space="preserve">A felszámolási eljárásban a hitelezői választmányt a nyilvántartásba vett hitelezők legalább egyharmada hozhatja létre, abban az esetben, ha rendelkeznek az egyezségkötésre jogosult hitelezői követelések </w:t>
            </w:r>
            <w:proofErr w:type="gramStart"/>
            <w:r w:rsidRPr="001C7F5D">
              <w:t>legalább  egyharmadával</w:t>
            </w:r>
            <w:proofErr w:type="gramEnd"/>
            <w:r w:rsidRPr="001C7F5D">
              <w:t>.</w:t>
            </w:r>
          </w:p>
          <w:p w:rsidR="001B29F9" w:rsidRPr="001C7F5D" w:rsidRDefault="001B29F9" w:rsidP="001C7F5D">
            <w:pPr>
              <w:pStyle w:val="ListParagraph"/>
              <w:numPr>
                <w:ilvl w:val="0"/>
                <w:numId w:val="89"/>
              </w:numPr>
              <w:spacing w:after="150"/>
              <w:jc w:val="both"/>
            </w:pPr>
            <w:r w:rsidRPr="001C7F5D">
              <w:t xml:space="preserve">Hitelezői választmány helyett </w:t>
            </w:r>
            <w:r w:rsidRPr="001C7F5D">
              <w:lastRenderedPageBreak/>
              <w:t xml:space="preserve">hitelezői képviselő megválasztására is lehetőség </w:t>
            </w:r>
            <w:proofErr w:type="gramStart"/>
            <w:r w:rsidRPr="001C7F5D">
              <w:t>van  a</w:t>
            </w:r>
            <w:proofErr w:type="gramEnd"/>
            <w:r w:rsidRPr="001C7F5D">
              <w:t xml:space="preserve"> fenti feltételekkel.</w:t>
            </w:r>
          </w:p>
        </w:tc>
        <w:tc>
          <w:tcPr>
            <w:tcW w:w="3063" w:type="dxa"/>
            <w:vAlign w:val="top"/>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lastRenderedPageBreak/>
              <w:t>A hitelezők jogainak megfelelő képviselete nem biztosított. A gyakorlatban ritkán hoznak létre választmányt.</w:t>
            </w:r>
          </w:p>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Úgy tűnik, hogy az adminisztrációs teher túl nagy a hitelezőkön a választmány megalakítása, a résztvevő hitelezők közötti koordináció és a választmány működtetése kapcsán, ahhoz képest, hogy mekkora a várható </w:t>
            </w:r>
            <w:proofErr w:type="gramStart"/>
            <w:r>
              <w:t>megtérülés  a</w:t>
            </w:r>
            <w:proofErr w:type="gramEnd"/>
            <w:r>
              <w:t xml:space="preserve"> felszámolási eljárásban.</w:t>
            </w:r>
          </w:p>
        </w:tc>
        <w:tc>
          <w:tcPr>
            <w:tcW w:w="2970" w:type="dxa"/>
            <w:vAlign w:val="top"/>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Amennyiben a felszámolási eljárások hatékonysága hosszú távon javulna, és a hitelezők követeléseik nagyobb mértékű megtérülésére számíthatnának, talán jobban megfontolnák hitelezői választmány megalakítását vagy hitelezői képviselő megválasztását.</w:t>
            </w:r>
          </w:p>
          <w:p w:rsidR="001B29F9" w:rsidRDefault="004057CC"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49376" behindDoc="0" locked="0" layoutInCell="1" allowOverlap="1" wp14:anchorId="215681E3" wp14:editId="0EC19937">
                      <wp:simplePos x="0" y="0"/>
                      <wp:positionH relativeFrom="column">
                        <wp:posOffset>1919605</wp:posOffset>
                      </wp:positionH>
                      <wp:positionV relativeFrom="paragraph">
                        <wp:posOffset>-1405255</wp:posOffset>
                      </wp:positionV>
                      <wp:extent cx="521970" cy="579120"/>
                      <wp:effectExtent l="76200" t="38100" r="49530" b="49530"/>
                      <wp:wrapNone/>
                      <wp:docPr id="47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579120"/>
                              </a:xfrm>
                              <a:prstGeom prst="upArrow">
                                <a:avLst>
                                  <a:gd name="adj1" fmla="val 50000"/>
                                  <a:gd name="adj2" fmla="val 27737"/>
                                </a:avLst>
                              </a:prstGeom>
                              <a:noFill/>
                              <a:ln w="38100" cmpd="sng">
                                <a:solidFill>
                                  <a:schemeClr val="tx1">
                                    <a:lumMod val="100000"/>
                                    <a:lumOff val="0"/>
                                  </a:schemeClr>
                                </a:solidFill>
                                <a:prstDash val="solid"/>
                                <a:miter lim="800000"/>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solidFill>
                                      <a:srgbClr val="C00000"/>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8" style="position:absolute;margin-left:151.15pt;margin-top:-110.65pt;width:41.1pt;height:45.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" filled="f" fillcolor="#c00000" strokecolor="black [3213]" strokeweight="3pt">
                      <v:shadow on="t" color="#4c4c4c [1606]" opacity=".5" offset="1pt"/>
                      <v:textbox style="layout-flow:vertical-ideographic"/>
                    </v:shape>
                  </w:pict>
                </mc:Fallback>
              </mc:AlternateContent>
            </w:r>
            <w:r w:rsidR="001B29F9">
              <w:t xml:space="preserve">Megfontolandó az is, hogy a </w:t>
            </w:r>
            <w:proofErr w:type="gramStart"/>
            <w:r w:rsidR="001B29F9">
              <w:t>választmányban  részt</w:t>
            </w:r>
            <w:proofErr w:type="gramEnd"/>
            <w:r w:rsidR="001B29F9">
              <w:t xml:space="preserve"> vevőket, illetve a hitelezői képviselőt </w:t>
            </w:r>
            <w:r w:rsidR="001B29F9">
              <w:lastRenderedPageBreak/>
              <w:t>valamilyen módon honorálják, így biztosítandó a megfelelő képviseletet.</w:t>
            </w:r>
          </w:p>
        </w:tc>
        <w:tc>
          <w:tcPr>
            <w:tcW w:w="1170" w:type="dxa"/>
          </w:tcPr>
          <w:p w:rsidR="001B29F9" w:rsidRDefault="001B29F9" w:rsidP="005B075A">
            <w:pPr>
              <w:cnfStyle w:val="000000000000" w:firstRow="0" w:lastRow="0" w:firstColumn="0" w:lastColumn="0" w:oddVBand="0" w:evenVBand="0" w:oddHBand="0" w:evenHBand="0" w:firstRowFirstColumn="0" w:firstRowLastColumn="0" w:lastRowFirstColumn="0" w:lastRowLastColumn="0"/>
            </w:pPr>
          </w:p>
        </w:tc>
      </w:tr>
    </w:tbl>
    <w:p w:rsidR="001B29F9" w:rsidRDefault="001B29F9" w:rsidP="001B29F9"/>
    <w:p w:rsidR="001B29F9" w:rsidRDefault="001B29F9" w:rsidP="001B29F9">
      <w:r>
        <w:rPr>
          <w:b/>
        </w:rPr>
        <w:t xml:space="preserve">4. A fizetésképtelenségi szakértők részére erősebb jogosultságok biztosítása az </w:t>
      </w:r>
      <w:proofErr w:type="spellStart"/>
      <w:r>
        <w:rPr>
          <w:b/>
        </w:rPr>
        <w:t>NPL-ek</w:t>
      </w:r>
      <w:proofErr w:type="spellEnd"/>
      <w:r>
        <w:rPr>
          <w:b/>
        </w:rPr>
        <w:t xml:space="preserve"> megtérülésének maximalizálása érdekében</w:t>
      </w:r>
    </w:p>
    <w:tbl>
      <w:tblPr>
        <w:tblStyle w:val="tblzat-fejlces"/>
        <w:tblW w:w="9648" w:type="dxa"/>
        <w:tblLayout w:type="fixed"/>
        <w:tblLook w:val="04A0" w:firstRow="1" w:lastRow="0" w:firstColumn="1" w:lastColumn="0" w:noHBand="0" w:noVBand="1"/>
      </w:tblPr>
      <w:tblGrid>
        <w:gridCol w:w="2448"/>
        <w:gridCol w:w="3060"/>
        <w:gridCol w:w="2970"/>
        <w:gridCol w:w="1170"/>
      </w:tblGrid>
      <w:tr w:rsidR="001B29F9" w:rsidTr="005B0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1B29F9" w:rsidRDefault="001B29F9" w:rsidP="005B075A">
            <w:r>
              <w:t>Szabályozási háttér</w:t>
            </w:r>
          </w:p>
        </w:tc>
        <w:tc>
          <w:tcPr>
            <w:tcW w:w="3060" w:type="dxa"/>
          </w:tcPr>
          <w:p w:rsidR="001B29F9" w:rsidRDefault="001B29F9" w:rsidP="005B075A">
            <w:pPr>
              <w:cnfStyle w:val="100000000000" w:firstRow="1" w:lastRow="0" w:firstColumn="0" w:lastColumn="0" w:oddVBand="0" w:evenVBand="0" w:oddHBand="0" w:evenHBand="0" w:firstRowFirstColumn="0" w:firstRowLastColumn="0" w:lastRowFirstColumn="0" w:lastRowLastColumn="0"/>
            </w:pPr>
            <w:r>
              <w:t>Azonosított gyakorlati probléma</w:t>
            </w:r>
          </w:p>
        </w:tc>
        <w:tc>
          <w:tcPr>
            <w:tcW w:w="2970" w:type="dxa"/>
          </w:tcPr>
          <w:p w:rsidR="001B29F9" w:rsidRDefault="001B29F9" w:rsidP="005B075A">
            <w:pPr>
              <w:cnfStyle w:val="100000000000" w:firstRow="1" w:lastRow="0" w:firstColumn="0" w:lastColumn="0" w:oddVBand="0" w:evenVBand="0" w:oddHBand="0" w:evenHBand="0" w:firstRowFirstColumn="0" w:firstRowLastColumn="0" w:lastRowFirstColumn="0" w:lastRowLastColumn="0"/>
            </w:pPr>
            <w:r>
              <w:t>Potenciális megoldási lehetőség</w:t>
            </w:r>
          </w:p>
        </w:tc>
        <w:tc>
          <w:tcPr>
            <w:tcW w:w="1170" w:type="dxa"/>
          </w:tcPr>
          <w:p w:rsidR="001B29F9" w:rsidRDefault="001B29F9" w:rsidP="005B075A">
            <w:pPr>
              <w:cnfStyle w:val="100000000000" w:firstRow="1" w:lastRow="0" w:firstColumn="0" w:lastColumn="0" w:oddVBand="0" w:evenVBand="0" w:oddHBand="0" w:evenHBand="0" w:firstRowFirstColumn="0" w:firstRowLastColumn="0" w:lastRowFirstColumn="0" w:lastRowLastColumn="0"/>
            </w:pPr>
            <w:r>
              <w:t>Prioritás</w:t>
            </w:r>
          </w:p>
        </w:tc>
      </w:tr>
      <w:tr w:rsidR="001B29F9" w:rsidTr="005B075A">
        <w:tc>
          <w:tcPr>
            <w:cnfStyle w:val="001000000000" w:firstRow="0" w:lastRow="0" w:firstColumn="1" w:lastColumn="0" w:oddVBand="0" w:evenVBand="0" w:oddHBand="0" w:evenHBand="0" w:firstRowFirstColumn="0" w:firstRowLastColumn="0" w:lastRowFirstColumn="0" w:lastRowLastColumn="0"/>
            <w:tcW w:w="2448" w:type="dxa"/>
            <w:vAlign w:val="top"/>
          </w:tcPr>
          <w:p w:rsidR="001B29F9" w:rsidRPr="001C7F5D" w:rsidRDefault="001B29F9" w:rsidP="001C7F5D">
            <w:pPr>
              <w:pStyle w:val="ListParagraph"/>
              <w:numPr>
                <w:ilvl w:val="0"/>
                <w:numId w:val="91"/>
              </w:numPr>
              <w:spacing w:after="150"/>
              <w:jc w:val="both"/>
            </w:pPr>
            <w:r w:rsidRPr="001C7F5D">
              <w:t xml:space="preserve">A csődeljárások során a vagyonfelügyelő tevékenysége főleg a hitelezői követelések regisztrálásából, a </w:t>
            </w:r>
            <w:proofErr w:type="gramStart"/>
            <w:r w:rsidRPr="001C7F5D">
              <w:t>csődegyezség  ellenjegyzéséből</w:t>
            </w:r>
            <w:proofErr w:type="gramEnd"/>
            <w:r w:rsidRPr="001C7F5D">
              <w:t xml:space="preserve"> és az adós moratórium alatti vagyoni </w:t>
            </w:r>
            <w:proofErr w:type="spellStart"/>
            <w:r w:rsidRPr="001C7F5D">
              <w:t>jellegűkötelezettségvállalásainak</w:t>
            </w:r>
            <w:proofErr w:type="spellEnd"/>
            <w:r w:rsidRPr="001C7F5D">
              <w:t xml:space="preserve"> jóváhagyásából áll.</w:t>
            </w:r>
          </w:p>
        </w:tc>
        <w:tc>
          <w:tcPr>
            <w:tcW w:w="3060" w:type="dxa"/>
            <w:vAlign w:val="top"/>
          </w:tcPr>
          <w:p w:rsidR="001B29F9" w:rsidRDefault="001B29F9" w:rsidP="009A73FD">
            <w:pPr>
              <w:pStyle w:val="ListParagraph"/>
              <w:numPr>
                <w:ilvl w:val="0"/>
                <w:numId w:val="61"/>
              </w:numPr>
              <w:spacing w:after="150"/>
              <w:ind w:left="278" w:hanging="278"/>
              <w:jc w:val="both"/>
              <w:cnfStyle w:val="000000000000" w:firstRow="0" w:lastRow="0" w:firstColumn="0" w:lastColumn="0" w:oddVBand="0" w:evenVBand="0" w:oddHBand="0" w:evenHBand="0" w:firstRowFirstColumn="0" w:firstRowLastColumn="0" w:lastRowFirstColumn="0" w:lastRowLastColumn="0"/>
            </w:pPr>
            <w:r>
              <w:t>Ha a vagyonfelügyelő nem játszik aktív szerepet, és a menedzsment nem alkalmas a feladatra, nincs senki a középpontban, aki átlátná az eljárást, védené a hitelezők jogait és koordinálná a feleket.</w:t>
            </w:r>
          </w:p>
        </w:tc>
        <w:tc>
          <w:tcPr>
            <w:tcW w:w="2970" w:type="dxa"/>
            <w:vAlign w:val="top"/>
          </w:tcPr>
          <w:p w:rsidR="001B29F9" w:rsidRDefault="001B29F9" w:rsidP="009A73FD">
            <w:pPr>
              <w:pStyle w:val="ListParagraph"/>
              <w:numPr>
                <w:ilvl w:val="0"/>
                <w:numId w:val="61"/>
              </w:numPr>
              <w:spacing w:after="150"/>
              <w:ind w:left="271" w:hanging="271"/>
              <w:jc w:val="both"/>
              <w:cnfStyle w:val="000000000000" w:firstRow="0" w:lastRow="0" w:firstColumn="0" w:lastColumn="0" w:oddVBand="0" w:evenVBand="0" w:oddHBand="0" w:evenHBand="0" w:firstRowFirstColumn="0" w:firstRowLastColumn="0" w:lastRowFirstColumn="0" w:lastRowLastColumn="0"/>
            </w:pPr>
            <w:r>
              <w:t>A szabályozásnak meg kellene erősítenie a vagyonfelügyelő szerepét az adós menedzsmentjének, a jogszabályoknak történő megfelelésnek, az egyezségi tárgyalások lefolytatásának és a szakszerű, megbízható reorganizációs terv előkészítésének az ellenőrzésében.</w:t>
            </w:r>
          </w:p>
          <w:p w:rsidR="001B29F9" w:rsidRDefault="001B29F9" w:rsidP="009A73FD">
            <w:pPr>
              <w:pStyle w:val="ListParagraph"/>
              <w:numPr>
                <w:ilvl w:val="0"/>
                <w:numId w:val="61"/>
              </w:numPr>
              <w:spacing w:after="150"/>
              <w:ind w:left="271" w:hanging="271"/>
              <w:jc w:val="both"/>
              <w:cnfStyle w:val="000000000000" w:firstRow="0" w:lastRow="0" w:firstColumn="0" w:lastColumn="0" w:oddVBand="0" w:evenVBand="0" w:oddHBand="0" w:evenHBand="0" w:firstRowFirstColumn="0" w:firstRowLastColumn="0" w:lastRowFirstColumn="0" w:lastRowLastColumn="0"/>
            </w:pPr>
            <w:r>
              <w:t xml:space="preserve">A vonatkozó intézkedéseknek szintén világosan tartalmazniuk kellene azt, hogy a vagyonfelügyelőnek kötelessége segíteni az adós reorganizációját; az adós kötelezettsége pedig az, hogy e </w:t>
            </w:r>
            <w:proofErr w:type="gramStart"/>
            <w:r>
              <w:t>tekintetben  együttműködjön</w:t>
            </w:r>
            <w:proofErr w:type="gramEnd"/>
            <w:r>
              <w:t xml:space="preserve"> a vagyonfelügyelővel.</w:t>
            </w:r>
          </w:p>
        </w:tc>
        <w:tc>
          <w:tcPr>
            <w:tcW w:w="1170"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55520" behindDoc="0" locked="0" layoutInCell="1" allowOverlap="1" wp14:anchorId="341F8BDA" wp14:editId="3944FEDD">
                      <wp:simplePos x="0" y="0"/>
                      <wp:positionH relativeFrom="column">
                        <wp:posOffset>65405</wp:posOffset>
                      </wp:positionH>
                      <wp:positionV relativeFrom="paragraph">
                        <wp:posOffset>82550</wp:posOffset>
                      </wp:positionV>
                      <wp:extent cx="499745" cy="579755"/>
                      <wp:effectExtent l="76200" t="38100" r="52705" b="48895"/>
                      <wp:wrapNone/>
                      <wp:docPr id="476"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79755"/>
                              </a:xfrm>
                              <a:prstGeom prst="upArrow">
                                <a:avLst>
                                  <a:gd name="adj1" fmla="val 50000"/>
                                  <a:gd name="adj2" fmla="val 29003"/>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68" style="position:absolute;margin-left:5.15pt;margin-top:6.5pt;width:39.35pt;height:45.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" fillcolor="#c00000" strokecolor="#c00000" strokeweight="3pt">
                      <v:shadow on="t" color="#4c4c4c [1606]" opacity=".5" offset="1pt"/>
                      <v:textbox style="layout-flow:vertical-ideographic"/>
                    </v:shape>
                  </w:pict>
                </mc:Fallback>
              </mc:AlternateContent>
            </w:r>
          </w:p>
        </w:tc>
      </w:tr>
      <w:tr w:rsidR="001B29F9" w:rsidTr="005B075A">
        <w:trPr>
          <w:trHeight w:val="2477"/>
        </w:trPr>
        <w:tc>
          <w:tcPr>
            <w:cnfStyle w:val="001000000000" w:firstRow="0" w:lastRow="0" w:firstColumn="1" w:lastColumn="0" w:oddVBand="0" w:evenVBand="0" w:oddHBand="0" w:evenHBand="0" w:firstRowFirstColumn="0" w:firstRowLastColumn="0" w:lastRowFirstColumn="0" w:lastRowLastColumn="0"/>
            <w:tcW w:w="2448" w:type="dxa"/>
            <w:vAlign w:val="top"/>
          </w:tcPr>
          <w:p w:rsidR="001B29F9" w:rsidRPr="001C7F5D" w:rsidRDefault="001B29F9" w:rsidP="001C7F5D">
            <w:pPr>
              <w:pStyle w:val="ListParagraph"/>
              <w:numPr>
                <w:ilvl w:val="0"/>
                <w:numId w:val="91"/>
              </w:numPr>
              <w:spacing w:after="150"/>
              <w:jc w:val="both"/>
            </w:pPr>
            <w:r w:rsidRPr="001C7F5D">
              <w:t xml:space="preserve">A csődeljárások során a vagyonfelügyelő nincs a </w:t>
            </w:r>
            <w:proofErr w:type="gramStart"/>
            <w:r w:rsidRPr="001C7F5D">
              <w:t>felszámolóval</w:t>
            </w:r>
            <w:proofErr w:type="gramEnd"/>
            <w:r w:rsidRPr="001C7F5D">
              <w:t xml:space="preserve"> azonos jogokkal felruházva az adós megállapodásainak megtámadására.</w:t>
            </w:r>
          </w:p>
        </w:tc>
        <w:tc>
          <w:tcPr>
            <w:tcW w:w="3060" w:type="dxa"/>
            <w:vAlign w:val="top"/>
          </w:tcPr>
          <w:p w:rsidR="001B29F9" w:rsidRDefault="001B29F9" w:rsidP="009A73FD">
            <w:pPr>
              <w:pStyle w:val="ListParagraph"/>
              <w:numPr>
                <w:ilvl w:val="0"/>
                <w:numId w:val="62"/>
              </w:numPr>
              <w:spacing w:after="150"/>
              <w:ind w:left="278" w:hanging="278"/>
              <w:jc w:val="both"/>
              <w:cnfStyle w:val="000000000000" w:firstRow="0" w:lastRow="0" w:firstColumn="0" w:lastColumn="0" w:oddVBand="0" w:evenVBand="0" w:oddHBand="0" w:evenHBand="0" w:firstRowFirstColumn="0" w:firstRowLastColumn="0" w:lastRowFirstColumn="0" w:lastRowLastColumn="0"/>
            </w:pPr>
            <w:r>
              <w:t xml:space="preserve">A vagyonfelügyelő is tudomást </w:t>
            </w:r>
            <w:proofErr w:type="gramStart"/>
            <w:r>
              <w:t>szerezhet  az</w:t>
            </w:r>
            <w:proofErr w:type="gramEnd"/>
            <w:r>
              <w:t xml:space="preserve"> adós rosszhiszemű, akár a csődeljárás előtti, akár </w:t>
            </w:r>
            <w:proofErr w:type="spellStart"/>
            <w:r>
              <w:t>azalatticselekményeiről</w:t>
            </w:r>
            <w:proofErr w:type="spellEnd"/>
            <w:r>
              <w:t>, különösen, ha a csődeljárást a felszámolás elhalasztása érdekében kezdeményezték.</w:t>
            </w:r>
          </w:p>
          <w:p w:rsidR="001B29F9" w:rsidRDefault="001B29F9" w:rsidP="009A73FD">
            <w:pPr>
              <w:pStyle w:val="ListParagraph"/>
              <w:numPr>
                <w:ilvl w:val="0"/>
                <w:numId w:val="62"/>
              </w:numPr>
              <w:spacing w:after="150"/>
              <w:ind w:left="278" w:hanging="278"/>
              <w:jc w:val="both"/>
              <w:cnfStyle w:val="000000000000" w:firstRow="0" w:lastRow="0" w:firstColumn="0" w:lastColumn="0" w:oddVBand="0" w:evenVBand="0" w:oddHBand="0" w:evenHBand="0" w:firstRowFirstColumn="0" w:firstRowLastColumn="0" w:lastRowFirstColumn="0" w:lastRowLastColumn="0"/>
            </w:pPr>
            <w:r>
              <w:t xml:space="preserve">A vagyonfelügyelőnek nincsenek eszközei arra, hogy fellépjen ezek ellen a cselekmények ellen, még úgy sem, hogy azokat </w:t>
            </w:r>
            <w:proofErr w:type="gramStart"/>
            <w:r>
              <w:t>a  felszámolás</w:t>
            </w:r>
            <w:proofErr w:type="gramEnd"/>
            <w:r>
              <w:t xml:space="preserve"> során megtámadni már túl késő lehet.</w:t>
            </w:r>
          </w:p>
        </w:tc>
        <w:tc>
          <w:tcPr>
            <w:tcW w:w="2970" w:type="dxa"/>
            <w:vAlign w:val="top"/>
          </w:tcPr>
          <w:p w:rsidR="001B29F9" w:rsidRDefault="001B29F9" w:rsidP="009A73FD">
            <w:pPr>
              <w:pStyle w:val="ListParagraph"/>
              <w:numPr>
                <w:ilvl w:val="0"/>
                <w:numId w:val="62"/>
              </w:numPr>
              <w:spacing w:after="150"/>
              <w:ind w:left="271" w:hanging="271"/>
              <w:jc w:val="both"/>
              <w:cnfStyle w:val="000000000000" w:firstRow="0" w:lastRow="0" w:firstColumn="0" w:lastColumn="0" w:oddVBand="0" w:evenVBand="0" w:oddHBand="0" w:evenHBand="0" w:firstRowFirstColumn="0" w:firstRowLastColumn="0" w:lastRowFirstColumn="0" w:lastRowLastColumn="0"/>
            </w:pPr>
            <w:r>
              <w:t>A vagyonfelügyelőnek a felszámolóhoz hasonló jogokat kellene biztosítani az adós korábbi cselekményeinek megtámadását tekintve, és ha az adós rosszhiszemű magatartást tanúsít, az adós menedzsmentjének jogkörét korlátozni kell és/vagy meg kell vonni.</w:t>
            </w:r>
          </w:p>
          <w:p w:rsidR="001B29F9" w:rsidRDefault="001B29F9" w:rsidP="009A73FD">
            <w:pPr>
              <w:pStyle w:val="ListParagraph"/>
              <w:numPr>
                <w:ilvl w:val="0"/>
                <w:numId w:val="62"/>
              </w:numPr>
              <w:spacing w:after="150"/>
              <w:ind w:left="271" w:hanging="271"/>
              <w:jc w:val="both"/>
              <w:cnfStyle w:val="000000000000" w:firstRow="0" w:lastRow="0" w:firstColumn="0" w:lastColumn="0" w:oddVBand="0" w:evenVBand="0" w:oddHBand="0" w:evenHBand="0" w:firstRowFirstColumn="0" w:firstRowLastColumn="0" w:lastRowFirstColumn="0" w:lastRowLastColumn="0"/>
            </w:pPr>
            <w:r>
              <w:t>Fizetésképtelenségi ügyekre specializálódott bírói csoportokat vagy különálló bíróságot kellene felállítani, hogy a csődbírók bírálhassák el a kifogásolt korábbi tranzakciókat is.</w:t>
            </w:r>
          </w:p>
        </w:tc>
        <w:tc>
          <w:tcPr>
            <w:tcW w:w="1170"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56544" behindDoc="0" locked="0" layoutInCell="1" allowOverlap="1" wp14:anchorId="26F247DE" wp14:editId="37BBD27C">
                      <wp:simplePos x="0" y="0"/>
                      <wp:positionH relativeFrom="column">
                        <wp:posOffset>24765</wp:posOffset>
                      </wp:positionH>
                      <wp:positionV relativeFrom="paragraph">
                        <wp:posOffset>83820</wp:posOffset>
                      </wp:positionV>
                      <wp:extent cx="499745" cy="579755"/>
                      <wp:effectExtent l="76200" t="38100" r="52705" b="48895"/>
                      <wp:wrapNone/>
                      <wp:docPr id="47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79755"/>
                              </a:xfrm>
                              <a:prstGeom prst="upArrow">
                                <a:avLst>
                                  <a:gd name="adj1" fmla="val 50000"/>
                                  <a:gd name="adj2" fmla="val 29003"/>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68" style="position:absolute;margin-left:1.95pt;margin-top:6.6pt;width:39.35pt;height:45.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" fillcolor="#c00000" strokecolor="#c00000" strokeweight="3pt">
                      <v:shadow on="t" color="#4c4c4c [1606]" opacity=".5" offset="1pt"/>
                      <v:textbox style="layout-flow:vertical-ideographic"/>
                    </v:shape>
                  </w:pict>
                </mc:Fallback>
              </mc:AlternateContent>
            </w:r>
          </w:p>
        </w:tc>
      </w:tr>
      <w:tr w:rsidR="001B29F9" w:rsidTr="005B075A">
        <w:tc>
          <w:tcPr>
            <w:cnfStyle w:val="001000000000" w:firstRow="0" w:lastRow="0" w:firstColumn="1" w:lastColumn="0" w:oddVBand="0" w:evenVBand="0" w:oddHBand="0" w:evenHBand="0" w:firstRowFirstColumn="0" w:firstRowLastColumn="0" w:lastRowFirstColumn="0" w:lastRowLastColumn="0"/>
            <w:tcW w:w="2448" w:type="dxa"/>
            <w:vAlign w:val="top"/>
          </w:tcPr>
          <w:p w:rsidR="001B29F9" w:rsidRPr="001C7F5D" w:rsidRDefault="001B29F9" w:rsidP="001C7F5D">
            <w:pPr>
              <w:pStyle w:val="ListParagraph"/>
              <w:numPr>
                <w:ilvl w:val="0"/>
                <w:numId w:val="91"/>
              </w:numPr>
              <w:spacing w:after="150"/>
              <w:jc w:val="both"/>
            </w:pPr>
            <w:r w:rsidRPr="001C7F5D">
              <w:lastRenderedPageBreak/>
              <w:t>A felszámolási eljárás során a felszámolónak a közhiteles nyilvántartásokból, valamint az adós számlavezető bankjaitól kell adatokat lekérnie, hogy az adós vagyontárgyairól információt szerezzen.</w:t>
            </w:r>
          </w:p>
          <w:p w:rsidR="001B29F9" w:rsidRPr="001C7F5D" w:rsidRDefault="001B29F9" w:rsidP="001C7F5D">
            <w:pPr>
              <w:pStyle w:val="ListParagraph"/>
              <w:numPr>
                <w:ilvl w:val="0"/>
                <w:numId w:val="91"/>
              </w:numPr>
              <w:spacing w:after="150"/>
              <w:jc w:val="both"/>
            </w:pPr>
            <w:r w:rsidRPr="001C7F5D">
              <w:t>Az adós vezető tisztségviselőjének át kell adnia az adós pénzügyi dokumentációját és megfelelően együtt kell működnie a felszámolóval.</w:t>
            </w:r>
          </w:p>
        </w:tc>
        <w:tc>
          <w:tcPr>
            <w:tcW w:w="3060" w:type="dxa"/>
            <w:vAlign w:val="top"/>
          </w:tcPr>
          <w:p w:rsidR="001B29F9" w:rsidRDefault="001B29F9" w:rsidP="009A73FD">
            <w:pPr>
              <w:pStyle w:val="ListParagraph"/>
              <w:numPr>
                <w:ilvl w:val="0"/>
                <w:numId w:val="63"/>
              </w:numPr>
              <w:spacing w:after="150"/>
              <w:ind w:left="318" w:hanging="318"/>
              <w:jc w:val="both"/>
              <w:cnfStyle w:val="000000000000" w:firstRow="0" w:lastRow="0" w:firstColumn="0" w:lastColumn="0" w:oddVBand="0" w:evenVBand="0" w:oddHBand="0" w:evenHBand="0" w:firstRowFirstColumn="0" w:firstRowLastColumn="0" w:lastRowFirstColumn="0" w:lastRowLastColumn="0"/>
            </w:pPr>
            <w:r>
              <w:t>A felszámolói vizsgálat és a vagyonfelderítés jelenlegi eszközei nem elég erőteljesek az adós vagyontárgyaihoz való megfelelő hozzáféréshez, és az adós (</w:t>
            </w:r>
            <w:proofErr w:type="spellStart"/>
            <w:r>
              <w:t>fedezetelvonási</w:t>
            </w:r>
            <w:proofErr w:type="spellEnd"/>
            <w:r>
              <w:t xml:space="preserve"> céllal) elidegenített vagyontárgyainak visszaszerzéséhez.</w:t>
            </w:r>
          </w:p>
          <w:p w:rsidR="001B29F9" w:rsidRPr="00F55264" w:rsidRDefault="001B29F9" w:rsidP="009A73FD">
            <w:pPr>
              <w:pStyle w:val="ListParagraph"/>
              <w:numPr>
                <w:ilvl w:val="0"/>
                <w:numId w:val="63"/>
              </w:numPr>
              <w:spacing w:after="150"/>
              <w:ind w:left="318" w:hanging="318"/>
              <w:jc w:val="both"/>
              <w:cnfStyle w:val="000000000000" w:firstRow="0" w:lastRow="0" w:firstColumn="0" w:lastColumn="0" w:oddVBand="0" w:evenVBand="0" w:oddHBand="0" w:evenHBand="0" w:firstRowFirstColumn="0" w:firstRowLastColumn="0" w:lastRowFirstColumn="0" w:lastRowLastColumn="0"/>
            </w:pPr>
            <w:r>
              <w:t>A vagyontárgyakra vonatkozó információhiány,</w:t>
            </w:r>
            <w:r w:rsidRPr="00F55264">
              <w:t xml:space="preserve"> az adósok </w:t>
            </w:r>
            <w:r>
              <w:t>fizetésképtelenséget</w:t>
            </w:r>
            <w:r w:rsidRPr="00F55264">
              <w:t xml:space="preserve"> megelőző tevékenysége, </w:t>
            </w:r>
            <w:r>
              <w:t xml:space="preserve">valamint a rosszhiszemű adósokkal szembeni eszközök elégtelensége jelentősen </w:t>
            </w:r>
            <w:r w:rsidRPr="00F55264">
              <w:t>csökkentik a sikeres felszámolás esélyét.</w:t>
            </w:r>
          </w:p>
        </w:tc>
        <w:tc>
          <w:tcPr>
            <w:tcW w:w="2970" w:type="dxa"/>
            <w:vAlign w:val="top"/>
          </w:tcPr>
          <w:p w:rsidR="001B29F9" w:rsidRDefault="001B29F9" w:rsidP="009A73FD">
            <w:pPr>
              <w:pStyle w:val="ListParagraph"/>
              <w:numPr>
                <w:ilvl w:val="0"/>
                <w:numId w:val="63"/>
              </w:numPr>
              <w:spacing w:after="150"/>
              <w:ind w:left="317" w:hanging="283"/>
              <w:jc w:val="both"/>
              <w:cnfStyle w:val="000000000000" w:firstRow="0" w:lastRow="0" w:firstColumn="0" w:lastColumn="0" w:oddVBand="0" w:evenVBand="0" w:oddHBand="0" w:evenHBand="0" w:firstRowFirstColumn="0" w:firstRowLastColumn="0" w:lastRowFirstColumn="0" w:lastRowLastColumn="0"/>
            </w:pPr>
            <w:r>
              <w:t xml:space="preserve">A szabályozásnak világossá kell tennie, hogy a felszámoló köteles felderíteni az </w:t>
            </w:r>
            <w:proofErr w:type="spellStart"/>
            <w:r>
              <w:t>adósi</w:t>
            </w:r>
            <w:proofErr w:type="spellEnd"/>
            <w:r>
              <w:t xml:space="preserve"> </w:t>
            </w:r>
            <w:proofErr w:type="gramStart"/>
            <w:r>
              <w:t>vagyont  és</w:t>
            </w:r>
            <w:proofErr w:type="gramEnd"/>
            <w:r>
              <w:t xml:space="preserve"> visszaszerezni az adós (</w:t>
            </w:r>
            <w:proofErr w:type="spellStart"/>
            <w:r>
              <w:t>fedezetelvonási</w:t>
            </w:r>
            <w:proofErr w:type="spellEnd"/>
            <w:r>
              <w:t xml:space="preserve"> </w:t>
            </w:r>
            <w:proofErr w:type="spellStart"/>
            <w:r>
              <w:t>céllel</w:t>
            </w:r>
            <w:proofErr w:type="spellEnd"/>
            <w:r>
              <w:t>) elidegenített vagyontárgyait.</w:t>
            </w:r>
          </w:p>
          <w:p w:rsidR="001B29F9" w:rsidRDefault="001B29F9" w:rsidP="009A73FD">
            <w:pPr>
              <w:pStyle w:val="ListParagraph"/>
              <w:numPr>
                <w:ilvl w:val="0"/>
                <w:numId w:val="63"/>
              </w:numPr>
              <w:spacing w:after="150"/>
              <w:ind w:left="317" w:hanging="283"/>
              <w:jc w:val="both"/>
              <w:cnfStyle w:val="000000000000" w:firstRow="0" w:lastRow="0" w:firstColumn="0" w:lastColumn="0" w:oddVBand="0" w:evenVBand="0" w:oddHBand="0" w:evenHBand="0" w:firstRowFirstColumn="0" w:firstRowLastColumn="0" w:lastRowFirstColumn="0" w:lastRowLastColumn="0"/>
            </w:pPr>
            <w:r>
              <w:t>A felszámolókat a bírósági végrehajtókéhoz hasonló jogokkal kell felruházni a közhiteles nyilvántartásokban való keresés és az adósok és bármely harmadik fél rosszhiszeműsége esetén alkalmazható közvetlen kikényszerítés kérdésében.</w:t>
            </w:r>
          </w:p>
          <w:p w:rsidR="001B29F9" w:rsidRDefault="001B29F9" w:rsidP="009A73FD">
            <w:pPr>
              <w:pStyle w:val="ListParagraph"/>
              <w:numPr>
                <w:ilvl w:val="0"/>
                <w:numId w:val="63"/>
              </w:numPr>
              <w:spacing w:after="150"/>
              <w:ind w:left="317" w:hanging="283"/>
              <w:jc w:val="both"/>
              <w:cnfStyle w:val="000000000000" w:firstRow="0" w:lastRow="0" w:firstColumn="0" w:lastColumn="0" w:oddVBand="0" w:evenVBand="0" w:oddHBand="0" w:evenHBand="0" w:firstRowFirstColumn="0" w:firstRowLastColumn="0" w:lastRowFirstColumn="0" w:lastRowLastColumn="0"/>
            </w:pPr>
            <w:r>
              <w:t>A felszámolóval való együttműködés hiánya esetére nagyobb visszatartó erejű szankciókat kellene bevezetni az adós vezető tisztségviselői ellen.</w:t>
            </w:r>
          </w:p>
          <w:p w:rsidR="001B29F9" w:rsidRPr="004B772E" w:rsidRDefault="001B29F9" w:rsidP="005B075A">
            <w:pPr>
              <w:pStyle w:val="ListParagraph"/>
              <w:ind w:left="317"/>
              <w:cnfStyle w:val="000000000000" w:firstRow="0" w:lastRow="0" w:firstColumn="0" w:lastColumn="0" w:oddVBand="0" w:evenVBand="0" w:oddHBand="0" w:evenHBand="0" w:firstRowFirstColumn="0" w:firstRowLastColumn="0" w:lastRowFirstColumn="0" w:lastRowLastColumn="0"/>
            </w:pPr>
          </w:p>
        </w:tc>
        <w:tc>
          <w:tcPr>
            <w:tcW w:w="1170"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57568" behindDoc="0" locked="0" layoutInCell="1" allowOverlap="1" wp14:anchorId="3B86B9C9" wp14:editId="3A922C96">
                      <wp:simplePos x="0" y="0"/>
                      <wp:positionH relativeFrom="column">
                        <wp:posOffset>29210</wp:posOffset>
                      </wp:positionH>
                      <wp:positionV relativeFrom="paragraph">
                        <wp:posOffset>-84455</wp:posOffset>
                      </wp:positionV>
                      <wp:extent cx="499745" cy="579755"/>
                      <wp:effectExtent l="76200" t="38100" r="52705" b="48895"/>
                      <wp:wrapNone/>
                      <wp:docPr id="47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79755"/>
                              </a:xfrm>
                              <a:prstGeom prst="upArrow">
                                <a:avLst>
                                  <a:gd name="adj1" fmla="val 50000"/>
                                  <a:gd name="adj2" fmla="val 29003"/>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68" style="position:absolute;margin-left:2.3pt;margin-top:-6.65pt;width:39.35pt;height:45.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" fillcolor="#c00000" strokecolor="#c00000" strokeweight="3pt">
                      <v:shadow on="t" color="#4c4c4c [1606]" opacity=".5" offset="1pt"/>
                      <v:textbox style="layout-flow:vertical-ideographic"/>
                    </v:shape>
                  </w:pict>
                </mc:Fallback>
              </mc:AlternateContent>
            </w:r>
          </w:p>
        </w:tc>
      </w:tr>
      <w:tr w:rsidR="001B29F9" w:rsidTr="005B075A">
        <w:tc>
          <w:tcPr>
            <w:cnfStyle w:val="001000000000" w:firstRow="0" w:lastRow="0" w:firstColumn="1" w:lastColumn="0" w:oddVBand="0" w:evenVBand="0" w:oddHBand="0" w:evenHBand="0" w:firstRowFirstColumn="0" w:firstRowLastColumn="0" w:lastRowFirstColumn="0" w:lastRowLastColumn="0"/>
            <w:tcW w:w="2448" w:type="dxa"/>
            <w:vAlign w:val="top"/>
          </w:tcPr>
          <w:p w:rsidR="001B29F9" w:rsidRPr="001C7F5D" w:rsidRDefault="001B29F9" w:rsidP="001C7F5D">
            <w:pPr>
              <w:pStyle w:val="ListParagraph"/>
              <w:numPr>
                <w:ilvl w:val="0"/>
                <w:numId w:val="91"/>
              </w:numPr>
              <w:spacing w:after="150"/>
              <w:jc w:val="both"/>
            </w:pPr>
            <w:r w:rsidRPr="001C7F5D">
              <w:t>A vagyonfelügyelők/felszámolók működése a fizetésképtelenségi eljárásokon kívül nem képezi rendszeres ellenőrzés tárgyát, kivéve a Felszámolók és Vagyonfelügyelők Országos Egyesülete általi vizsgálatot.</w:t>
            </w:r>
          </w:p>
        </w:tc>
        <w:tc>
          <w:tcPr>
            <w:tcW w:w="3060" w:type="dxa"/>
            <w:vAlign w:val="top"/>
          </w:tcPr>
          <w:p w:rsidR="001B29F9" w:rsidRDefault="001B29F9" w:rsidP="009A73FD">
            <w:pPr>
              <w:pStyle w:val="ListParagraph"/>
              <w:numPr>
                <w:ilvl w:val="0"/>
                <w:numId w:val="63"/>
              </w:numPr>
              <w:spacing w:after="150"/>
              <w:ind w:left="318" w:hanging="318"/>
              <w:jc w:val="both"/>
              <w:cnfStyle w:val="000000000000" w:firstRow="0" w:lastRow="0" w:firstColumn="0" w:lastColumn="0" w:oddVBand="0" w:evenVBand="0" w:oddHBand="0" w:evenHBand="0" w:firstRowFirstColumn="0" w:firstRowLastColumn="0" w:lastRowFirstColumn="0" w:lastRowLastColumn="0"/>
            </w:pPr>
            <w:r>
              <w:t>Az Egyesület tagsága önkéntes. Az általa készített útmutatók és irányelvek nem kötelezik jogilag a tagokat.</w:t>
            </w:r>
          </w:p>
          <w:p w:rsidR="001B29F9" w:rsidRDefault="001B29F9" w:rsidP="009A73FD">
            <w:pPr>
              <w:pStyle w:val="ListParagraph"/>
              <w:numPr>
                <w:ilvl w:val="0"/>
                <w:numId w:val="63"/>
              </w:numPr>
              <w:spacing w:after="150"/>
              <w:ind w:left="318" w:hanging="318"/>
              <w:jc w:val="both"/>
              <w:cnfStyle w:val="000000000000" w:firstRow="0" w:lastRow="0" w:firstColumn="0" w:lastColumn="0" w:oddVBand="0" w:evenVBand="0" w:oddHBand="0" w:evenHBand="0" w:firstRowFirstColumn="0" w:firstRowLastColumn="0" w:lastRowFirstColumn="0" w:lastRowLastColumn="0"/>
            </w:pPr>
            <w:r>
              <w:t>A felszámolási eljárás menete nagyban függ az eljáró vagyonfelügyelő/</w:t>
            </w:r>
            <w:proofErr w:type="spellStart"/>
            <w:r>
              <w:t>felszámolóbiztos</w:t>
            </w:r>
            <w:proofErr w:type="spellEnd"/>
            <w:r>
              <w:t xml:space="preserve"> személyétől, ami csökkenti a hitelezők számára az átláthatóságot. </w:t>
            </w:r>
          </w:p>
        </w:tc>
        <w:tc>
          <w:tcPr>
            <w:tcW w:w="2970" w:type="dxa"/>
            <w:vAlign w:val="top"/>
          </w:tcPr>
          <w:p w:rsidR="001B29F9" w:rsidRDefault="001B29F9" w:rsidP="009A73FD">
            <w:pPr>
              <w:pStyle w:val="ListParagraph"/>
              <w:numPr>
                <w:ilvl w:val="0"/>
                <w:numId w:val="63"/>
              </w:numPr>
              <w:spacing w:after="150"/>
              <w:ind w:left="317" w:hanging="283"/>
              <w:jc w:val="both"/>
              <w:cnfStyle w:val="000000000000" w:firstRow="0" w:lastRow="0" w:firstColumn="0" w:lastColumn="0" w:oddVBand="0" w:evenVBand="0" w:oddHBand="0" w:evenHBand="0" w:firstRowFirstColumn="0" w:firstRowLastColumn="0" w:lastRowFirstColumn="0" w:lastRowLastColumn="0"/>
            </w:pPr>
            <w:r>
              <w:t xml:space="preserve">A vagyonfelügyelők és felszámolók szabályozását, ellenőrzését és </w:t>
            </w:r>
            <w:proofErr w:type="spellStart"/>
            <w:r>
              <w:t>monitoringját</w:t>
            </w:r>
            <w:proofErr w:type="spellEnd"/>
            <w:r>
              <w:t xml:space="preserve"> erősíteni kellene. Ennek egyik módja az lenne, ha az Egyesület kamaraként működne, így </w:t>
            </w:r>
            <w:proofErr w:type="gramStart"/>
            <w:r>
              <w:t>ellátná  az</w:t>
            </w:r>
            <w:proofErr w:type="gramEnd"/>
            <w:r>
              <w:t xml:space="preserve"> ellenőrzéssel és a </w:t>
            </w:r>
            <w:proofErr w:type="spellStart"/>
            <w:r>
              <w:t>monitoringgal</w:t>
            </w:r>
            <w:proofErr w:type="spellEnd"/>
            <w:r>
              <w:t xml:space="preserve"> kapcsolatos feladatokat.</w:t>
            </w:r>
          </w:p>
          <w:p w:rsidR="001B29F9" w:rsidRDefault="001B29F9" w:rsidP="009A73FD">
            <w:pPr>
              <w:pStyle w:val="ListParagraph"/>
              <w:numPr>
                <w:ilvl w:val="0"/>
                <w:numId w:val="63"/>
              </w:numPr>
              <w:spacing w:after="150"/>
              <w:ind w:left="317" w:hanging="283"/>
              <w:jc w:val="both"/>
              <w:cnfStyle w:val="000000000000" w:firstRow="0" w:lastRow="0" w:firstColumn="0" w:lastColumn="0" w:oddVBand="0" w:evenVBand="0" w:oddHBand="0" w:evenHBand="0" w:firstRowFirstColumn="0" w:firstRowLastColumn="0" w:lastRowFirstColumn="0" w:lastRowLastColumn="0"/>
            </w:pPr>
            <w:r>
              <w:t>Az Egyesület útmutatói és ajánlásai minden felszámolóra és vagyonfelügyelőre nézve kötelezőek lennének, ezzel megalapozva az egységes gyakorlatot.</w:t>
            </w:r>
          </w:p>
          <w:p w:rsidR="001B29F9" w:rsidRDefault="001B29F9" w:rsidP="009A73FD">
            <w:pPr>
              <w:pStyle w:val="ListParagraph"/>
              <w:numPr>
                <w:ilvl w:val="0"/>
                <w:numId w:val="63"/>
              </w:numPr>
              <w:spacing w:after="150"/>
              <w:ind w:left="317" w:hanging="283"/>
              <w:jc w:val="both"/>
              <w:cnfStyle w:val="000000000000" w:firstRow="0" w:lastRow="0" w:firstColumn="0" w:lastColumn="0" w:oddVBand="0" w:evenVBand="0" w:oddHBand="0" w:evenHBand="0" w:firstRowFirstColumn="0" w:firstRowLastColumn="0" w:lastRowFirstColumn="0" w:lastRowLastColumn="0"/>
            </w:pPr>
            <w:r>
              <w:t xml:space="preserve">A vagyonfelügyelőre és felszámolókra vonatkozó fegyelmi intézkedések is az Egyesülethez tartoznának. </w:t>
            </w:r>
          </w:p>
        </w:tc>
        <w:tc>
          <w:tcPr>
            <w:tcW w:w="1170"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rPr>
                <w:noProof/>
              </w:rPr>
            </w:pPr>
            <w:r>
              <w:rPr>
                <w:noProof/>
              </w:rPr>
              <mc:AlternateContent>
                <mc:Choice Requires="wps">
                  <w:drawing>
                    <wp:anchor distT="0" distB="0" distL="114300" distR="114300" simplePos="0" relativeHeight="251754496" behindDoc="0" locked="0" layoutInCell="1" allowOverlap="1" wp14:anchorId="14C544CC" wp14:editId="6EECF277">
                      <wp:simplePos x="0" y="0"/>
                      <wp:positionH relativeFrom="column">
                        <wp:posOffset>11430</wp:posOffset>
                      </wp:positionH>
                      <wp:positionV relativeFrom="paragraph">
                        <wp:posOffset>118745</wp:posOffset>
                      </wp:positionV>
                      <wp:extent cx="499745" cy="579755"/>
                      <wp:effectExtent l="76200" t="38100" r="52705" b="48895"/>
                      <wp:wrapNone/>
                      <wp:docPr id="47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79755"/>
                              </a:xfrm>
                              <a:prstGeom prst="upArrow">
                                <a:avLst>
                                  <a:gd name="adj1" fmla="val 50000"/>
                                  <a:gd name="adj2" fmla="val 29003"/>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68" style="position:absolute;margin-left:.9pt;margin-top:9.35pt;width:39.35pt;height:45.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" fillcolor="#c00000" strokecolor="#c00000" strokeweight="3pt">
                      <v:shadow on="t" color="#4c4c4c [1606]" opacity=".5" offset="1pt"/>
                      <v:textbox style="layout-flow:vertical-ideographic"/>
                    </v:shape>
                  </w:pict>
                </mc:Fallback>
              </mc:AlternateContent>
            </w:r>
          </w:p>
        </w:tc>
      </w:tr>
      <w:tr w:rsidR="001B29F9" w:rsidTr="005B075A">
        <w:tc>
          <w:tcPr>
            <w:cnfStyle w:val="001000000000" w:firstRow="0" w:lastRow="0" w:firstColumn="1" w:lastColumn="0" w:oddVBand="0" w:evenVBand="0" w:oddHBand="0" w:evenHBand="0" w:firstRowFirstColumn="0" w:firstRowLastColumn="0" w:lastRowFirstColumn="0" w:lastRowLastColumn="0"/>
            <w:tcW w:w="2448" w:type="dxa"/>
            <w:vAlign w:val="top"/>
          </w:tcPr>
          <w:p w:rsidR="001B29F9" w:rsidRPr="001C7F5D" w:rsidRDefault="001B29F9" w:rsidP="001C7F5D">
            <w:pPr>
              <w:pStyle w:val="ListParagraph"/>
              <w:numPr>
                <w:ilvl w:val="0"/>
                <w:numId w:val="91"/>
              </w:numPr>
              <w:spacing w:after="150"/>
              <w:jc w:val="both"/>
            </w:pPr>
            <w:r w:rsidRPr="001C7F5D">
              <w:t xml:space="preserve">A felszámoló jogállása és kötelezettségei </w:t>
            </w:r>
            <w:r w:rsidRPr="001C7F5D">
              <w:lastRenderedPageBreak/>
              <w:t>a szabályozásban nincsenek világosan definiálva.</w:t>
            </w:r>
          </w:p>
        </w:tc>
        <w:tc>
          <w:tcPr>
            <w:tcW w:w="3060" w:type="dxa"/>
            <w:vAlign w:val="top"/>
          </w:tcPr>
          <w:p w:rsidR="001B29F9" w:rsidRDefault="001B29F9" w:rsidP="009A73FD">
            <w:pPr>
              <w:pStyle w:val="ListParagraph"/>
              <w:numPr>
                <w:ilvl w:val="0"/>
                <w:numId w:val="63"/>
              </w:numPr>
              <w:spacing w:after="150"/>
              <w:ind w:left="318" w:hanging="318"/>
              <w:jc w:val="both"/>
              <w:cnfStyle w:val="000000000000" w:firstRow="0" w:lastRow="0" w:firstColumn="0" w:lastColumn="0" w:oddVBand="0" w:evenVBand="0" w:oddHBand="0" w:evenHBand="0" w:firstRowFirstColumn="0" w:firstRowLastColumn="0" w:lastRowFirstColumn="0" w:lastRowLastColumn="0"/>
            </w:pPr>
            <w:r>
              <w:lastRenderedPageBreak/>
              <w:t xml:space="preserve">Nem mindig egyértelmű, hogy a felszámoló a saját vagy az adós nevében jár-e </w:t>
            </w:r>
            <w:r>
              <w:lastRenderedPageBreak/>
              <w:t>el (és így az ezzel kapcsolatos felelőssége is ellentmondásos).</w:t>
            </w:r>
          </w:p>
          <w:p w:rsidR="001B29F9" w:rsidRDefault="001B29F9" w:rsidP="009A73FD">
            <w:pPr>
              <w:pStyle w:val="ListParagraph"/>
              <w:numPr>
                <w:ilvl w:val="0"/>
                <w:numId w:val="63"/>
              </w:numPr>
              <w:spacing w:after="150"/>
              <w:ind w:left="318" w:hanging="318"/>
              <w:jc w:val="both"/>
              <w:cnfStyle w:val="000000000000" w:firstRow="0" w:lastRow="0" w:firstColumn="0" w:lastColumn="0" w:oddVBand="0" w:evenVBand="0" w:oddHBand="0" w:evenHBand="0" w:firstRowFirstColumn="0" w:firstRowLastColumn="0" w:lastRowFirstColumn="0" w:lastRowLastColumn="0"/>
            </w:pPr>
            <w:r>
              <w:t>A jogkörök, a kötelezettségek és a felszámoló mandátumának jogi tartalma nem kellően hangsúlyozzák a felszámoló kötelezettségét a hitelezők által elérhető legjobb eredmény biztosításának segítésére vonatkozóan.</w:t>
            </w:r>
          </w:p>
        </w:tc>
        <w:tc>
          <w:tcPr>
            <w:tcW w:w="2970" w:type="dxa"/>
            <w:vAlign w:val="top"/>
          </w:tcPr>
          <w:p w:rsidR="001B29F9" w:rsidRDefault="001B29F9" w:rsidP="009A73FD">
            <w:pPr>
              <w:pStyle w:val="ListParagraph"/>
              <w:numPr>
                <w:ilvl w:val="0"/>
                <w:numId w:val="63"/>
              </w:numPr>
              <w:spacing w:after="150"/>
              <w:ind w:left="317" w:hanging="283"/>
              <w:jc w:val="both"/>
              <w:cnfStyle w:val="000000000000" w:firstRow="0" w:lastRow="0" w:firstColumn="0" w:lastColumn="0" w:oddVBand="0" w:evenVBand="0" w:oddHBand="0" w:evenHBand="0" w:firstRowFirstColumn="0" w:firstRowLastColumn="0" w:lastRowFirstColumn="0" w:lastRowLastColumn="0"/>
            </w:pPr>
            <w:r>
              <w:lastRenderedPageBreak/>
              <w:t xml:space="preserve">A szabályozásnak tisztáznia kellene a felszámoló </w:t>
            </w:r>
            <w:proofErr w:type="spellStart"/>
            <w:r>
              <w:t>jogállásátés</w:t>
            </w:r>
            <w:proofErr w:type="spellEnd"/>
            <w:r>
              <w:t xml:space="preserve"> </w:t>
            </w:r>
            <w:r>
              <w:lastRenderedPageBreak/>
              <w:t xml:space="preserve">felelősségét, ahogyan azt a kérdést is, hogy a felszámoló kinek a </w:t>
            </w:r>
            <w:proofErr w:type="spellStart"/>
            <w:r>
              <w:t>nevébenjár</w:t>
            </w:r>
            <w:proofErr w:type="spellEnd"/>
            <w:r>
              <w:t xml:space="preserve"> el.</w:t>
            </w:r>
          </w:p>
        </w:tc>
        <w:tc>
          <w:tcPr>
            <w:tcW w:w="1170"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rPr>
                <w:noProof/>
              </w:rPr>
            </w:pPr>
            <w:r>
              <w:rPr>
                <w:noProof/>
              </w:rPr>
              <w:lastRenderedPageBreak/>
              <mc:AlternateContent>
                <mc:Choice Requires="wps">
                  <w:drawing>
                    <wp:anchor distT="0" distB="0" distL="114300" distR="114300" simplePos="0" relativeHeight="251758592" behindDoc="0" locked="0" layoutInCell="1" allowOverlap="1" wp14:anchorId="131EAD74" wp14:editId="1AF0F61D">
                      <wp:simplePos x="0" y="0"/>
                      <wp:positionH relativeFrom="column">
                        <wp:posOffset>14605</wp:posOffset>
                      </wp:positionH>
                      <wp:positionV relativeFrom="paragraph">
                        <wp:posOffset>-234315</wp:posOffset>
                      </wp:positionV>
                      <wp:extent cx="521970" cy="579120"/>
                      <wp:effectExtent l="76200" t="38100" r="49530" b="49530"/>
                      <wp:wrapNone/>
                      <wp:docPr id="47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579120"/>
                              </a:xfrm>
                              <a:prstGeom prst="upArrow">
                                <a:avLst>
                                  <a:gd name="adj1" fmla="val 50000"/>
                                  <a:gd name="adj2" fmla="val 27737"/>
                                </a:avLst>
                              </a:prstGeom>
                              <a:noFill/>
                              <a:ln w="38100" cmpd="sng">
                                <a:solidFill>
                                  <a:schemeClr val="tx1">
                                    <a:lumMod val="100000"/>
                                    <a:lumOff val="0"/>
                                  </a:schemeClr>
                                </a:solidFill>
                                <a:prstDash val="solid"/>
                                <a:miter lim="800000"/>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solidFill>
                                      <a:srgbClr val="C00000"/>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8" style="position:absolute;margin-left:1.15pt;margin-top:-18.45pt;width:41.1pt;height:45.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" filled="f" fillcolor="#c00000" strokecolor="black [3213]" strokeweight="3pt">
                      <v:shadow on="t" color="#4c4c4c [1606]" opacity=".5" offset="1pt"/>
                      <v:textbox style="layout-flow:vertical-ideographic"/>
                    </v:shape>
                  </w:pict>
                </mc:Fallback>
              </mc:AlternateContent>
            </w:r>
          </w:p>
        </w:tc>
      </w:tr>
    </w:tbl>
    <w:p w:rsidR="001B29F9" w:rsidRDefault="001B29F9" w:rsidP="001B29F9"/>
    <w:p w:rsidR="001B29F9" w:rsidRDefault="001B29F9" w:rsidP="001B29F9">
      <w:r>
        <w:rPr>
          <w:b/>
        </w:rPr>
        <w:t xml:space="preserve">5. </w:t>
      </w:r>
      <w:r w:rsidRPr="00452470">
        <w:rPr>
          <w:b/>
        </w:rPr>
        <w:t xml:space="preserve">Hatékony csődeljárás </w:t>
      </w:r>
      <w:r>
        <w:rPr>
          <w:b/>
        </w:rPr>
        <w:t xml:space="preserve">az </w:t>
      </w:r>
      <w:proofErr w:type="spellStart"/>
      <w:r>
        <w:rPr>
          <w:b/>
        </w:rPr>
        <w:t>NPL-ek</w:t>
      </w:r>
      <w:proofErr w:type="spellEnd"/>
      <w:r w:rsidRPr="00452470">
        <w:rPr>
          <w:b/>
        </w:rPr>
        <w:t xml:space="preserve"> </w:t>
      </w:r>
      <w:proofErr w:type="spellStart"/>
      <w:r w:rsidRPr="00452470">
        <w:rPr>
          <w:b/>
        </w:rPr>
        <w:t>restrukturálási</w:t>
      </w:r>
      <w:proofErr w:type="spellEnd"/>
      <w:r w:rsidRPr="00452470">
        <w:rPr>
          <w:b/>
        </w:rPr>
        <w:t xml:space="preserve"> lehetőségeinek javítására</w:t>
      </w:r>
    </w:p>
    <w:tbl>
      <w:tblPr>
        <w:tblStyle w:val="tblzat-fejlces"/>
        <w:tblW w:w="9648" w:type="dxa"/>
        <w:tblLook w:val="04A0" w:firstRow="1" w:lastRow="0" w:firstColumn="1" w:lastColumn="0" w:noHBand="0" w:noVBand="1"/>
      </w:tblPr>
      <w:tblGrid>
        <w:gridCol w:w="2388"/>
        <w:gridCol w:w="3126"/>
        <w:gridCol w:w="2965"/>
        <w:gridCol w:w="1169"/>
      </w:tblGrid>
      <w:tr w:rsidR="001B29F9" w:rsidTr="005B0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1B29F9" w:rsidRDefault="001B29F9" w:rsidP="005B075A">
            <w:r>
              <w:t>Szabályozási háttér</w:t>
            </w:r>
          </w:p>
        </w:tc>
        <w:tc>
          <w:tcPr>
            <w:tcW w:w="3132" w:type="dxa"/>
          </w:tcPr>
          <w:p w:rsidR="001B29F9" w:rsidRDefault="001B29F9" w:rsidP="005B075A">
            <w:pPr>
              <w:cnfStyle w:val="100000000000" w:firstRow="1" w:lastRow="0" w:firstColumn="0" w:lastColumn="0" w:oddVBand="0" w:evenVBand="0" w:oddHBand="0" w:evenHBand="0" w:firstRowFirstColumn="0" w:firstRowLastColumn="0" w:lastRowFirstColumn="0" w:lastRowLastColumn="0"/>
            </w:pPr>
            <w:r>
              <w:t>Azonosított gyakorlati probléma</w:t>
            </w:r>
          </w:p>
        </w:tc>
        <w:tc>
          <w:tcPr>
            <w:tcW w:w="2970" w:type="dxa"/>
          </w:tcPr>
          <w:p w:rsidR="001B29F9" w:rsidRDefault="001B29F9" w:rsidP="005B075A">
            <w:pPr>
              <w:cnfStyle w:val="100000000000" w:firstRow="1" w:lastRow="0" w:firstColumn="0" w:lastColumn="0" w:oddVBand="0" w:evenVBand="0" w:oddHBand="0" w:evenHBand="0" w:firstRowFirstColumn="0" w:firstRowLastColumn="0" w:lastRowFirstColumn="0" w:lastRowLastColumn="0"/>
            </w:pPr>
            <w:r>
              <w:t>Potenciális megoldási lehetőség</w:t>
            </w:r>
          </w:p>
        </w:tc>
        <w:tc>
          <w:tcPr>
            <w:tcW w:w="1170" w:type="dxa"/>
          </w:tcPr>
          <w:p w:rsidR="001B29F9" w:rsidRDefault="001B29F9" w:rsidP="005B075A">
            <w:pPr>
              <w:cnfStyle w:val="100000000000" w:firstRow="1" w:lastRow="0" w:firstColumn="0" w:lastColumn="0" w:oddVBand="0" w:evenVBand="0" w:oddHBand="0" w:evenHBand="0" w:firstRowFirstColumn="0" w:firstRowLastColumn="0" w:lastRowFirstColumn="0" w:lastRowLastColumn="0"/>
            </w:pPr>
            <w:r>
              <w:t>Prioritás</w:t>
            </w:r>
          </w:p>
        </w:tc>
      </w:tr>
      <w:tr w:rsidR="001B29F9" w:rsidTr="005B075A">
        <w:tc>
          <w:tcPr>
            <w:cnfStyle w:val="001000000000" w:firstRow="0" w:lastRow="0" w:firstColumn="1" w:lastColumn="0" w:oddVBand="0" w:evenVBand="0" w:oddHBand="0" w:evenHBand="0" w:firstRowFirstColumn="0" w:firstRowLastColumn="0" w:lastRowFirstColumn="0" w:lastRowLastColumn="0"/>
            <w:tcW w:w="2376" w:type="dxa"/>
            <w:vAlign w:val="top"/>
          </w:tcPr>
          <w:p w:rsidR="001B29F9" w:rsidRPr="001C7F5D" w:rsidRDefault="001B29F9" w:rsidP="001C7F5D">
            <w:pPr>
              <w:pStyle w:val="ListParagraph"/>
              <w:numPr>
                <w:ilvl w:val="0"/>
                <w:numId w:val="95"/>
              </w:numPr>
              <w:spacing w:after="150"/>
              <w:jc w:val="both"/>
            </w:pPr>
            <w:r w:rsidRPr="001C7F5D">
              <w:t>Az adóhatóságok az adókövetelések esetében nem fogadhatnak el 100 százaléknál kisebb mértékű megtérülést.</w:t>
            </w:r>
          </w:p>
        </w:tc>
        <w:tc>
          <w:tcPr>
            <w:tcW w:w="3132" w:type="dxa"/>
            <w:vAlign w:val="top"/>
          </w:tcPr>
          <w:p w:rsidR="001B29F9" w:rsidRDefault="001B29F9" w:rsidP="009A73FD">
            <w:pPr>
              <w:pStyle w:val="ListParagraph"/>
              <w:numPr>
                <w:ilvl w:val="0"/>
                <w:numId w:val="61"/>
              </w:numPr>
              <w:spacing w:after="150"/>
              <w:jc w:val="both"/>
              <w:cnfStyle w:val="000000000000" w:firstRow="0" w:lastRow="0" w:firstColumn="0" w:lastColumn="0" w:oddVBand="0" w:evenVBand="0" w:oddHBand="0" w:evenHBand="0" w:firstRowFirstColumn="0" w:firstRowLastColumn="0" w:lastRowFirstColumn="0" w:lastRowLastColumn="0"/>
            </w:pPr>
            <w:r>
              <w:t xml:space="preserve">Az </w:t>
            </w:r>
            <w:proofErr w:type="spellStart"/>
            <w:r>
              <w:t>adósság-restrukturálási</w:t>
            </w:r>
            <w:proofErr w:type="spellEnd"/>
            <w:r>
              <w:t xml:space="preserve"> javaslatokat néha blokkolja az, hogy az adóhatóságok nem csökkenthetik adóköveteléseiket.</w:t>
            </w:r>
          </w:p>
        </w:tc>
        <w:tc>
          <w:tcPr>
            <w:tcW w:w="2970" w:type="dxa"/>
            <w:vAlign w:val="top"/>
          </w:tcPr>
          <w:p w:rsidR="001B29F9" w:rsidRDefault="001B29F9" w:rsidP="009A73FD">
            <w:pPr>
              <w:pStyle w:val="ListParagraph"/>
              <w:numPr>
                <w:ilvl w:val="0"/>
                <w:numId w:val="61"/>
              </w:numPr>
              <w:spacing w:after="150"/>
              <w:ind w:left="271" w:hanging="271"/>
              <w:jc w:val="both"/>
              <w:cnfStyle w:val="000000000000" w:firstRow="0" w:lastRow="0" w:firstColumn="0" w:lastColumn="0" w:oddVBand="0" w:evenVBand="0" w:oddHBand="0" w:evenHBand="0" w:firstRowFirstColumn="0" w:firstRowLastColumn="0" w:lastRowFirstColumn="0" w:lastRowLastColumn="0"/>
            </w:pPr>
            <w:r>
              <w:t xml:space="preserve">Biztosítani kellene az adóhatóságok részére az adókövetelés csökkentésének a lehetőségét a csődtörvény alapján megvalósuló bírósági </w:t>
            </w:r>
            <w:proofErr w:type="spellStart"/>
            <w:r>
              <w:t>restrukturálás</w:t>
            </w:r>
            <w:proofErr w:type="spellEnd"/>
            <w:r>
              <w:t xml:space="preserve"> esetében, ha ez segítséget jelent az adósnak. A Nemzetgazdasági Minisztériumnak vagy a Magyar Nemzeti Banknak útmutatót kellene kiadnia arról, hogyan kell az adóhatóságoknak az adókövetelés csökkentésének jogát gyakorolniuk.</w:t>
            </w:r>
          </w:p>
        </w:tc>
        <w:tc>
          <w:tcPr>
            <w:tcW w:w="1170"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62688" behindDoc="0" locked="0" layoutInCell="1" allowOverlap="1" wp14:anchorId="291E6824" wp14:editId="0E8DEA00">
                      <wp:simplePos x="0" y="0"/>
                      <wp:positionH relativeFrom="column">
                        <wp:posOffset>85725</wp:posOffset>
                      </wp:positionH>
                      <wp:positionV relativeFrom="paragraph">
                        <wp:posOffset>-37465</wp:posOffset>
                      </wp:positionV>
                      <wp:extent cx="318135" cy="382270"/>
                      <wp:effectExtent l="76200" t="38100" r="62865" b="55880"/>
                      <wp:wrapNone/>
                      <wp:docPr id="47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382270"/>
                              </a:xfrm>
                              <a:prstGeom prst="upArrow">
                                <a:avLst>
                                  <a:gd name="adj1" fmla="val 50000"/>
                                  <a:gd name="adj2" fmla="val 30040"/>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68" style="position:absolute;margin-left:6.75pt;margin-top:-2.95pt;width:25.05pt;height:30.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" fillcolor="#c00000" strokecolor="#c00000" strokeweight="3pt">
                      <v:shadow on="t" color="#4c4c4c [1606]" opacity=".5" offset="1pt"/>
                      <v:textbox style="layout-flow:vertical-ideographic"/>
                    </v:shape>
                  </w:pict>
                </mc:Fallback>
              </mc:AlternateContent>
            </w:r>
          </w:p>
        </w:tc>
      </w:tr>
      <w:tr w:rsidR="001B29F9" w:rsidTr="005B075A">
        <w:trPr>
          <w:trHeight w:val="2477"/>
        </w:trPr>
        <w:tc>
          <w:tcPr>
            <w:cnfStyle w:val="001000000000" w:firstRow="0" w:lastRow="0" w:firstColumn="1" w:lastColumn="0" w:oddVBand="0" w:evenVBand="0" w:oddHBand="0" w:evenHBand="0" w:firstRowFirstColumn="0" w:firstRowLastColumn="0" w:lastRowFirstColumn="0" w:lastRowLastColumn="0"/>
            <w:tcW w:w="2376" w:type="dxa"/>
            <w:vAlign w:val="top"/>
          </w:tcPr>
          <w:p w:rsidR="001B29F9" w:rsidRPr="001C7F5D" w:rsidRDefault="001B29F9" w:rsidP="001C7F5D">
            <w:pPr>
              <w:pStyle w:val="ListParagraph"/>
              <w:numPr>
                <w:ilvl w:val="0"/>
                <w:numId w:val="95"/>
              </w:numPr>
              <w:spacing w:after="150"/>
              <w:jc w:val="both"/>
            </w:pPr>
            <w:r w:rsidRPr="001C7F5D">
              <w:t xml:space="preserve">A követelés teljes vagy részleges elengedése következményeként az adós bevételt számol el a könyveiben. Az adósnak társasági adót kell fizetnie az elszámolt bevétel után. Az előző évek adóveszteségei csak részben használhatóak fel az </w:t>
            </w:r>
            <w:r w:rsidRPr="001C7F5D">
              <w:lastRenderedPageBreak/>
              <w:t>adóköteles bevétel csökkentésére (kivéve, ha a követelés elengedésére csőd- vagy felszámolási eljárásban bírósági végzéssel jóváhagyott egyezség során került sor, mert akkor a bevétel egészével szembe lehet állítani az előző évek adóveszteségeit.)</w:t>
            </w:r>
          </w:p>
        </w:tc>
        <w:tc>
          <w:tcPr>
            <w:tcW w:w="3132" w:type="dxa"/>
            <w:vAlign w:val="top"/>
          </w:tcPr>
          <w:p w:rsidR="001B29F9" w:rsidRDefault="001B29F9" w:rsidP="009A73FD">
            <w:pPr>
              <w:pStyle w:val="ListParagraph"/>
              <w:numPr>
                <w:ilvl w:val="0"/>
                <w:numId w:val="62"/>
              </w:numPr>
              <w:spacing w:after="150"/>
              <w:ind w:left="278" w:hanging="278"/>
              <w:jc w:val="both"/>
              <w:cnfStyle w:val="000000000000" w:firstRow="0" w:lastRow="0" w:firstColumn="0" w:lastColumn="0" w:oddVBand="0" w:evenVBand="0" w:oddHBand="0" w:evenHBand="0" w:firstRowFirstColumn="0" w:firstRowLastColumn="0" w:lastRowFirstColumn="0" w:lastRowLastColumn="0"/>
            </w:pPr>
            <w:r>
              <w:lastRenderedPageBreak/>
              <w:t xml:space="preserve">Az elengedett adósság után fizetendő adó csökkenti az </w:t>
            </w:r>
            <w:proofErr w:type="spellStart"/>
            <w:r>
              <w:t>adósság-restrukturálás</w:t>
            </w:r>
            <w:proofErr w:type="spellEnd"/>
            <w:r>
              <w:t xml:space="preserve"> hatékonyságát és </w:t>
            </w:r>
            <w:proofErr w:type="spellStart"/>
            <w:r>
              <w:t>cashflow</w:t>
            </w:r>
            <w:proofErr w:type="spellEnd"/>
            <w:r>
              <w:t xml:space="preserve"> problémákat okozhat az adósnak.</w:t>
            </w:r>
          </w:p>
        </w:tc>
        <w:tc>
          <w:tcPr>
            <w:tcW w:w="2970" w:type="dxa"/>
            <w:vAlign w:val="top"/>
          </w:tcPr>
          <w:p w:rsidR="001B29F9" w:rsidRDefault="001B29F9" w:rsidP="009A73FD">
            <w:pPr>
              <w:pStyle w:val="ListParagraph"/>
              <w:numPr>
                <w:ilvl w:val="0"/>
                <w:numId w:val="62"/>
              </w:numPr>
              <w:spacing w:after="150"/>
              <w:ind w:left="271" w:hanging="271"/>
              <w:jc w:val="both"/>
              <w:cnfStyle w:val="000000000000" w:firstRow="0" w:lastRow="0" w:firstColumn="0" w:lastColumn="0" w:oddVBand="0" w:evenVBand="0" w:oddHBand="0" w:evenHBand="0" w:firstRowFirstColumn="0" w:firstRowLastColumn="0" w:lastRowFirstColumn="0" w:lastRowLastColumn="0"/>
            </w:pPr>
            <w:r>
              <w:t>Az elszámolt bevétel adómentessé tétele azon adósok számára, akiknek az adósságait a fennálló fizetésképtelenség miatt teljesen vagy részben elengedték, vagy annak engedélyezése, hogy az elszámolt bevétel egészével korlátozás nélkül szembe lehessen állítani a korábbi évekről áthozott adóveszteségeket.</w:t>
            </w:r>
          </w:p>
        </w:tc>
        <w:tc>
          <w:tcPr>
            <w:tcW w:w="1170"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63712" behindDoc="0" locked="0" layoutInCell="1" allowOverlap="1" wp14:anchorId="7556A8F6" wp14:editId="189CD098">
                      <wp:simplePos x="0" y="0"/>
                      <wp:positionH relativeFrom="column">
                        <wp:posOffset>97155</wp:posOffset>
                      </wp:positionH>
                      <wp:positionV relativeFrom="paragraph">
                        <wp:posOffset>-518795</wp:posOffset>
                      </wp:positionV>
                      <wp:extent cx="318135" cy="382270"/>
                      <wp:effectExtent l="76200" t="38100" r="62865" b="55880"/>
                      <wp:wrapNone/>
                      <wp:docPr id="470"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382270"/>
                              </a:xfrm>
                              <a:prstGeom prst="upArrow">
                                <a:avLst>
                                  <a:gd name="adj1" fmla="val 50000"/>
                                  <a:gd name="adj2" fmla="val 30040"/>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 o:spid="_x0000_s1026" type="#_x0000_t68" style="position:absolute;margin-left:7.65pt;margin-top:-40.85pt;width:25.05pt;height:30.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" fillcolor="#c00000" strokecolor="#c00000" strokeweight="3pt">
                      <v:shadow on="t" color="#4c4c4c [1606]" opacity=".5" offset="1pt"/>
                      <v:textbox style="layout-flow:vertical-ideographic"/>
                    </v:shape>
                  </w:pict>
                </mc:Fallback>
              </mc:AlternateContent>
            </w:r>
          </w:p>
        </w:tc>
      </w:tr>
      <w:tr w:rsidR="001B29F9" w:rsidTr="005B075A">
        <w:tc>
          <w:tcPr>
            <w:cnfStyle w:val="001000000000" w:firstRow="0" w:lastRow="0" w:firstColumn="1" w:lastColumn="0" w:oddVBand="0" w:evenVBand="0" w:oddHBand="0" w:evenHBand="0" w:firstRowFirstColumn="0" w:firstRowLastColumn="0" w:lastRowFirstColumn="0" w:lastRowLastColumn="0"/>
            <w:tcW w:w="2376" w:type="dxa"/>
            <w:vAlign w:val="top"/>
          </w:tcPr>
          <w:p w:rsidR="001B29F9" w:rsidRPr="001C7F5D" w:rsidRDefault="001B29F9" w:rsidP="001C7F5D">
            <w:pPr>
              <w:pStyle w:val="ListParagraph"/>
              <w:numPr>
                <w:ilvl w:val="0"/>
                <w:numId w:val="95"/>
              </w:numPr>
              <w:spacing w:after="150"/>
              <w:jc w:val="both"/>
            </w:pPr>
            <w:r w:rsidRPr="001C7F5D">
              <w:lastRenderedPageBreak/>
              <w:t>Az adósnak nem kell üzleti- vagy reorganizációs tervet készítenie a csődeljárás megindításakor.</w:t>
            </w:r>
          </w:p>
          <w:p w:rsidR="001B29F9" w:rsidRPr="001C7F5D" w:rsidRDefault="001B29F9" w:rsidP="001C7F5D">
            <w:pPr>
              <w:pStyle w:val="ListParagraph"/>
              <w:numPr>
                <w:ilvl w:val="0"/>
                <w:numId w:val="95"/>
              </w:numPr>
              <w:spacing w:after="150"/>
              <w:jc w:val="both"/>
            </w:pPr>
            <w:r w:rsidRPr="001C7F5D">
              <w:t>A reorganizációs tervet csak az első hitelezői meeting előtt kell elkészíteni, és a tartalma nincs szabályozva a kapcsolódó jogszabályokban.</w:t>
            </w:r>
          </w:p>
        </w:tc>
        <w:tc>
          <w:tcPr>
            <w:tcW w:w="3132" w:type="dxa"/>
            <w:vAlign w:val="top"/>
          </w:tcPr>
          <w:p w:rsidR="001B29F9" w:rsidRDefault="001B29F9" w:rsidP="009A73FD">
            <w:pPr>
              <w:pStyle w:val="ListParagraph"/>
              <w:numPr>
                <w:ilvl w:val="0"/>
                <w:numId w:val="63"/>
              </w:numPr>
              <w:spacing w:after="150"/>
              <w:ind w:left="318" w:hanging="318"/>
              <w:jc w:val="both"/>
              <w:cnfStyle w:val="000000000000" w:firstRow="0" w:lastRow="0" w:firstColumn="0" w:lastColumn="0" w:oddVBand="0" w:evenVBand="0" w:oddHBand="0" w:evenHBand="0" w:firstRowFirstColumn="0" w:firstRowLastColumn="0" w:lastRowFirstColumn="0" w:lastRowLastColumn="0"/>
            </w:pPr>
            <w:r>
              <w:t>Nincs „gyorsított” csődeljárás, ahol be lehetne adni egy előzetesen a hitelezők többségével egyeztetett tervet.</w:t>
            </w:r>
          </w:p>
          <w:p w:rsidR="001B29F9" w:rsidRDefault="001B29F9" w:rsidP="009A73FD">
            <w:pPr>
              <w:pStyle w:val="ListParagraph"/>
              <w:numPr>
                <w:ilvl w:val="0"/>
                <w:numId w:val="63"/>
              </w:numPr>
              <w:spacing w:after="150"/>
              <w:ind w:left="318" w:hanging="318"/>
              <w:jc w:val="both"/>
              <w:cnfStyle w:val="000000000000" w:firstRow="0" w:lastRow="0" w:firstColumn="0" w:lastColumn="0" w:oddVBand="0" w:evenVBand="0" w:oddHBand="0" w:evenHBand="0" w:firstRowFirstColumn="0" w:firstRowLastColumn="0" w:lastRowFirstColumn="0" w:lastRowLastColumn="0"/>
            </w:pPr>
            <w:r>
              <w:t>A csődeljárást kezdeményezheti az adós szakszerű és megbízható reorganizációs terv nélkül.</w:t>
            </w:r>
          </w:p>
          <w:p w:rsidR="001B29F9" w:rsidRDefault="001B29F9" w:rsidP="009A73FD">
            <w:pPr>
              <w:pStyle w:val="ListParagraph"/>
              <w:numPr>
                <w:ilvl w:val="0"/>
                <w:numId w:val="63"/>
              </w:numPr>
              <w:spacing w:after="150"/>
              <w:ind w:left="318" w:hanging="318"/>
              <w:jc w:val="both"/>
              <w:cnfStyle w:val="000000000000" w:firstRow="0" w:lastRow="0" w:firstColumn="0" w:lastColumn="0" w:oddVBand="0" w:evenVBand="0" w:oddHBand="0" w:evenHBand="0" w:firstRowFirstColumn="0" w:firstRowLastColumn="0" w:lastRowFirstColumn="0" w:lastRowLastColumn="0"/>
            </w:pPr>
            <w:r>
              <w:t>Az adósok nincsenek megfelelően felkészülve a pénzügyi és operatív átstrukturálásra.</w:t>
            </w:r>
          </w:p>
          <w:p w:rsidR="001B29F9" w:rsidRDefault="001B29F9" w:rsidP="009A73FD">
            <w:pPr>
              <w:pStyle w:val="ListParagraph"/>
              <w:numPr>
                <w:ilvl w:val="0"/>
                <w:numId w:val="63"/>
              </w:numPr>
              <w:spacing w:after="150"/>
              <w:ind w:left="318" w:hanging="318"/>
              <w:jc w:val="both"/>
              <w:cnfStyle w:val="000000000000" w:firstRow="0" w:lastRow="0" w:firstColumn="0" w:lastColumn="0" w:oddVBand="0" w:evenVBand="0" w:oddHBand="0" w:evenHBand="0" w:firstRowFirstColumn="0" w:firstRowLastColumn="0" w:lastRowFirstColumn="0" w:lastRowLastColumn="0"/>
            </w:pPr>
            <w:r>
              <w:t>Az adósok és részvényesek nem megfelelően felkészültek a refinanszírozás és az adós csődeljárás alatti működési költségeinek finanszírozására.</w:t>
            </w:r>
          </w:p>
          <w:p w:rsidR="001B29F9" w:rsidRDefault="001B29F9" w:rsidP="009A73FD">
            <w:pPr>
              <w:pStyle w:val="ListParagraph"/>
              <w:numPr>
                <w:ilvl w:val="0"/>
                <w:numId w:val="63"/>
              </w:numPr>
              <w:spacing w:after="150"/>
              <w:ind w:left="318" w:hanging="318"/>
              <w:jc w:val="both"/>
              <w:cnfStyle w:val="000000000000" w:firstRow="0" w:lastRow="0" w:firstColumn="0" w:lastColumn="0" w:oddVBand="0" w:evenVBand="0" w:oddHBand="0" w:evenHBand="0" w:firstRowFirstColumn="0" w:firstRowLastColumn="0" w:lastRowFirstColumn="0" w:lastRowLastColumn="0"/>
            </w:pPr>
            <w:r>
              <w:t>Nincs ösztönző csőd esetén a mentőfinanszírozásra (</w:t>
            </w:r>
            <w:proofErr w:type="spellStart"/>
            <w:r>
              <w:t>rescue</w:t>
            </w:r>
            <w:proofErr w:type="spellEnd"/>
            <w:r>
              <w:t xml:space="preserve"> </w:t>
            </w:r>
            <w:proofErr w:type="spellStart"/>
            <w:r>
              <w:t>financing</w:t>
            </w:r>
            <w:proofErr w:type="spellEnd"/>
            <w:r>
              <w:t>).</w:t>
            </w:r>
          </w:p>
        </w:tc>
        <w:tc>
          <w:tcPr>
            <w:tcW w:w="2970" w:type="dxa"/>
            <w:vAlign w:val="top"/>
          </w:tcPr>
          <w:p w:rsidR="001B29F9" w:rsidRDefault="001B29F9" w:rsidP="009A73FD">
            <w:pPr>
              <w:pStyle w:val="ListParagraph"/>
              <w:numPr>
                <w:ilvl w:val="0"/>
                <w:numId w:val="63"/>
              </w:numPr>
              <w:spacing w:after="150"/>
              <w:ind w:left="317" w:hanging="283"/>
              <w:jc w:val="both"/>
              <w:cnfStyle w:val="000000000000" w:firstRow="0" w:lastRow="0" w:firstColumn="0" w:lastColumn="0" w:oddVBand="0" w:evenVBand="0" w:oddHBand="0" w:evenHBand="0" w:firstRowFirstColumn="0" w:firstRowLastColumn="0" w:lastRowFirstColumn="0" w:lastRowLastColumn="0"/>
            </w:pPr>
            <w:r>
              <w:t>A szabályozást át kellene vizsgálni, hogy megköveteljen legalább egy előzetes üzleti/reorganizációs tervet (és lehetőség szerint egy független könyvvizsgálói jelentést is) a csőd elindításának részeként.</w:t>
            </w:r>
          </w:p>
          <w:p w:rsidR="001B29F9" w:rsidRDefault="001B29F9" w:rsidP="009A73FD">
            <w:pPr>
              <w:pStyle w:val="ListParagraph"/>
              <w:numPr>
                <w:ilvl w:val="0"/>
                <w:numId w:val="63"/>
              </w:numPr>
              <w:spacing w:after="150"/>
              <w:ind w:left="317" w:hanging="283"/>
              <w:jc w:val="both"/>
              <w:cnfStyle w:val="000000000000" w:firstRow="0" w:lastRow="0" w:firstColumn="0" w:lastColumn="0" w:oddVBand="0" w:evenVBand="0" w:oddHBand="0" w:evenHBand="0" w:firstRowFirstColumn="0" w:firstRowLastColumn="0" w:lastRowFirstColumn="0" w:lastRowLastColumn="0"/>
            </w:pPr>
            <w:r>
              <w:t>Meg lehetne fontolni egy „gyorsított” eljárás lehetőségét azoknak az adósoknak, akik készítenek reorganizációs tervet a többségi hitelezők támogatásával a csődeljárás kezdeményezése előtt.</w:t>
            </w:r>
          </w:p>
          <w:p w:rsidR="001B29F9" w:rsidRDefault="001B29F9" w:rsidP="009A73FD">
            <w:pPr>
              <w:pStyle w:val="ListParagraph"/>
              <w:numPr>
                <w:ilvl w:val="0"/>
                <w:numId w:val="63"/>
              </w:numPr>
              <w:spacing w:after="150"/>
              <w:ind w:left="317" w:hanging="283"/>
              <w:jc w:val="both"/>
              <w:cnfStyle w:val="000000000000" w:firstRow="0" w:lastRow="0" w:firstColumn="0" w:lastColumn="0" w:oddVBand="0" w:evenVBand="0" w:oddHBand="0" w:evenHBand="0" w:firstRowFirstColumn="0" w:firstRowLastColumn="0" w:lastRowFirstColumn="0" w:lastRowLastColumn="0"/>
            </w:pPr>
            <w:r>
              <w:t>A szabályozásban jobban ki lehetne dolgozni a kötelező tartalmi elemeket az előzetes és a végleges terveket illetően.</w:t>
            </w:r>
          </w:p>
          <w:p w:rsidR="001B29F9" w:rsidRDefault="001B29F9" w:rsidP="009A73FD">
            <w:pPr>
              <w:pStyle w:val="ListParagraph"/>
              <w:numPr>
                <w:ilvl w:val="0"/>
                <w:numId w:val="63"/>
              </w:numPr>
              <w:spacing w:after="150"/>
              <w:ind w:left="317" w:hanging="283"/>
              <w:jc w:val="both"/>
              <w:cnfStyle w:val="000000000000" w:firstRow="0" w:lastRow="0" w:firstColumn="0" w:lastColumn="0" w:oddVBand="0" w:evenVBand="0" w:oddHBand="0" w:evenHBand="0" w:firstRowFirstColumn="0" w:firstRowLastColumn="0" w:lastRowFirstColumn="0" w:lastRowLastColumn="0"/>
            </w:pPr>
            <w:r>
              <w:t>A mentőfinanszírozást elő kellene segíteni speciális prioritás garantálásával, pl. prioritás a nem biztosított hitelezőkkel szemben bármely későbbi felszámolás alkalmával.</w:t>
            </w:r>
          </w:p>
        </w:tc>
        <w:tc>
          <w:tcPr>
            <w:tcW w:w="1170"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61664" behindDoc="0" locked="0" layoutInCell="1" allowOverlap="1" wp14:anchorId="52FB07FF" wp14:editId="036EA4FF">
                      <wp:simplePos x="0" y="0"/>
                      <wp:positionH relativeFrom="column">
                        <wp:posOffset>57150</wp:posOffset>
                      </wp:positionH>
                      <wp:positionV relativeFrom="paragraph">
                        <wp:posOffset>165100</wp:posOffset>
                      </wp:positionV>
                      <wp:extent cx="499745" cy="579755"/>
                      <wp:effectExtent l="76200" t="38100" r="52705" b="48895"/>
                      <wp:wrapNone/>
                      <wp:docPr id="46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79755"/>
                              </a:xfrm>
                              <a:prstGeom prst="upArrow">
                                <a:avLst>
                                  <a:gd name="adj1" fmla="val 50000"/>
                                  <a:gd name="adj2" fmla="val 29003"/>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0" o:spid="_x0000_s1026" type="#_x0000_t68" style="position:absolute;margin-left:4.5pt;margin-top:13pt;width:39.35pt;height:45.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" fillcolor="#c00000" strokecolor="#c00000" strokeweight="3pt">
                      <v:shadow on="t" color="#4c4c4c [1606]" opacity=".5" offset="1pt"/>
                      <v:textbox style="layout-flow:vertical-ideographic"/>
                    </v:shape>
                  </w:pict>
                </mc:Fallback>
              </mc:AlternateContent>
            </w:r>
          </w:p>
        </w:tc>
      </w:tr>
    </w:tbl>
    <w:p w:rsidR="001B29F9" w:rsidRDefault="001B29F9" w:rsidP="001B29F9"/>
    <w:p w:rsidR="001B29F9" w:rsidRPr="001A471B" w:rsidRDefault="001B29F9" w:rsidP="001B29F9">
      <w:pPr>
        <w:rPr>
          <w:b/>
        </w:rPr>
      </w:pPr>
      <w:r>
        <w:rPr>
          <w:b/>
        </w:rPr>
        <w:lastRenderedPageBreak/>
        <w:t xml:space="preserve">6. </w:t>
      </w:r>
      <w:r w:rsidRPr="00452470">
        <w:rPr>
          <w:b/>
        </w:rPr>
        <w:t>A kedvezőtlen adózási környezet megszüntetése és adókedvezmények bevezetése az NPL állomány csökkentése érdekében</w:t>
      </w:r>
    </w:p>
    <w:tbl>
      <w:tblPr>
        <w:tblStyle w:val="tblzat-fejlces"/>
        <w:tblW w:w="0" w:type="auto"/>
        <w:tblLook w:val="04A0" w:firstRow="1" w:lastRow="0" w:firstColumn="1" w:lastColumn="0" w:noHBand="0" w:noVBand="1"/>
      </w:tblPr>
      <w:tblGrid>
        <w:gridCol w:w="2492"/>
        <w:gridCol w:w="3092"/>
        <w:gridCol w:w="2880"/>
        <w:gridCol w:w="1276"/>
      </w:tblGrid>
      <w:tr w:rsidR="001B29F9" w:rsidTr="007417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2" w:type="dxa"/>
          </w:tcPr>
          <w:p w:rsidR="001B29F9" w:rsidRDefault="001B29F9" w:rsidP="005B075A">
            <w:r>
              <w:t>Szabályozási háttér</w:t>
            </w:r>
          </w:p>
        </w:tc>
        <w:tc>
          <w:tcPr>
            <w:tcW w:w="3092" w:type="dxa"/>
          </w:tcPr>
          <w:p w:rsidR="001B29F9" w:rsidRDefault="001B29F9" w:rsidP="005B075A">
            <w:pPr>
              <w:cnfStyle w:val="100000000000" w:firstRow="1" w:lastRow="0" w:firstColumn="0" w:lastColumn="0" w:oddVBand="0" w:evenVBand="0" w:oddHBand="0" w:evenHBand="0" w:firstRowFirstColumn="0" w:firstRowLastColumn="0" w:lastRowFirstColumn="0" w:lastRowLastColumn="0"/>
            </w:pPr>
            <w:r>
              <w:t>Azonosított gyakorlati probléma</w:t>
            </w:r>
          </w:p>
        </w:tc>
        <w:tc>
          <w:tcPr>
            <w:tcW w:w="2880" w:type="dxa"/>
          </w:tcPr>
          <w:p w:rsidR="001B29F9" w:rsidRDefault="001B29F9" w:rsidP="005B075A">
            <w:pPr>
              <w:cnfStyle w:val="100000000000" w:firstRow="1" w:lastRow="0" w:firstColumn="0" w:lastColumn="0" w:oddVBand="0" w:evenVBand="0" w:oddHBand="0" w:evenHBand="0" w:firstRowFirstColumn="0" w:firstRowLastColumn="0" w:lastRowFirstColumn="0" w:lastRowLastColumn="0"/>
            </w:pPr>
            <w:r>
              <w:t>Potenciális megoldási lehetőség</w:t>
            </w:r>
          </w:p>
        </w:tc>
        <w:tc>
          <w:tcPr>
            <w:tcW w:w="1276" w:type="dxa"/>
          </w:tcPr>
          <w:p w:rsidR="001B29F9" w:rsidRDefault="001B29F9" w:rsidP="005B075A">
            <w:pPr>
              <w:cnfStyle w:val="100000000000" w:firstRow="1" w:lastRow="0" w:firstColumn="0" w:lastColumn="0" w:oddVBand="0" w:evenVBand="0" w:oddHBand="0" w:evenHBand="0" w:firstRowFirstColumn="0" w:firstRowLastColumn="0" w:lastRowFirstColumn="0" w:lastRowLastColumn="0"/>
            </w:pPr>
            <w:r>
              <w:t>Prioritás</w:t>
            </w:r>
          </w:p>
        </w:tc>
      </w:tr>
      <w:tr w:rsidR="001B29F9" w:rsidTr="007417AE">
        <w:tc>
          <w:tcPr>
            <w:cnfStyle w:val="001000000000" w:firstRow="0" w:lastRow="0" w:firstColumn="1" w:lastColumn="0" w:oddVBand="0" w:evenVBand="0" w:oddHBand="0" w:evenHBand="0" w:firstRowFirstColumn="0" w:firstRowLastColumn="0" w:lastRowFirstColumn="0" w:lastRowLastColumn="0"/>
            <w:tcW w:w="9740" w:type="dxa"/>
            <w:gridSpan w:val="4"/>
          </w:tcPr>
          <w:p w:rsidR="001B29F9" w:rsidRDefault="001B29F9" w:rsidP="005B075A"/>
        </w:tc>
      </w:tr>
      <w:tr w:rsidR="001B29F9" w:rsidTr="007417AE">
        <w:tc>
          <w:tcPr>
            <w:cnfStyle w:val="001000000000" w:firstRow="0" w:lastRow="0" w:firstColumn="1" w:lastColumn="0" w:oddVBand="0" w:evenVBand="0" w:oddHBand="0" w:evenHBand="0" w:firstRowFirstColumn="0" w:firstRowLastColumn="0" w:lastRowFirstColumn="0" w:lastRowLastColumn="0"/>
            <w:tcW w:w="9740" w:type="dxa"/>
            <w:gridSpan w:val="4"/>
          </w:tcPr>
          <w:p w:rsidR="001B29F9" w:rsidRDefault="001B29F9" w:rsidP="005B075A">
            <w:r>
              <w:t>Bevezetendő adókedvezmények</w:t>
            </w:r>
          </w:p>
        </w:tc>
      </w:tr>
      <w:tr w:rsidR="001B29F9" w:rsidTr="007417AE">
        <w:tc>
          <w:tcPr>
            <w:cnfStyle w:val="001000000000" w:firstRow="0" w:lastRow="0" w:firstColumn="1" w:lastColumn="0" w:oddVBand="0" w:evenVBand="0" w:oddHBand="0" w:evenHBand="0" w:firstRowFirstColumn="0" w:firstRowLastColumn="0" w:lastRowFirstColumn="0" w:lastRowLastColumn="0"/>
            <w:tcW w:w="2492" w:type="dxa"/>
          </w:tcPr>
          <w:p w:rsidR="001B29F9" w:rsidRPr="001C7F5D" w:rsidRDefault="001B29F9" w:rsidP="001C7F5D">
            <w:pPr>
              <w:pStyle w:val="ListParagraph"/>
              <w:numPr>
                <w:ilvl w:val="0"/>
                <w:numId w:val="96"/>
              </w:numPr>
              <w:spacing w:after="150"/>
              <w:jc w:val="both"/>
            </w:pPr>
            <w:r w:rsidRPr="001C7F5D">
              <w:t>A magyar törvények nem tartalmaznak olyan adókedvezményeket, amelyek elősegítenék az NPL állomány csökkentését.</w:t>
            </w:r>
          </w:p>
        </w:tc>
        <w:tc>
          <w:tcPr>
            <w:tcW w:w="3092" w:type="dxa"/>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Az NPL állomány csökkentése nagyon költséges, csökkenti a bankok új hitelezésre fordítható forrásait és idejét.</w:t>
            </w:r>
          </w:p>
        </w:tc>
        <w:tc>
          <w:tcPr>
            <w:tcW w:w="2880" w:type="dxa"/>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Adókedvezményt lehetne biztosítani, például a bankadóból, azon bankok számára, akik eladnak vagy leírnak egy bizonyos összegű NPL állományt.</w:t>
            </w:r>
            <w:r w:rsidR="00D16E66">
              <w:rPr>
                <w:rStyle w:val="FootnoteReference"/>
              </w:rPr>
              <w:footnoteReference w:id="2"/>
            </w:r>
          </w:p>
        </w:tc>
        <w:tc>
          <w:tcPr>
            <w:tcW w:w="1276"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66784" behindDoc="0" locked="0" layoutInCell="1" allowOverlap="1" wp14:anchorId="03121A85" wp14:editId="68900315">
                      <wp:simplePos x="0" y="0"/>
                      <wp:positionH relativeFrom="column">
                        <wp:posOffset>137160</wp:posOffset>
                      </wp:positionH>
                      <wp:positionV relativeFrom="paragraph">
                        <wp:posOffset>-118110</wp:posOffset>
                      </wp:positionV>
                      <wp:extent cx="318135" cy="382270"/>
                      <wp:effectExtent l="76200" t="38100" r="62865" b="55880"/>
                      <wp:wrapNone/>
                      <wp:docPr id="46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382270"/>
                              </a:xfrm>
                              <a:prstGeom prst="upArrow">
                                <a:avLst>
                                  <a:gd name="adj1" fmla="val 50000"/>
                                  <a:gd name="adj2" fmla="val 30040"/>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68" style="position:absolute;margin-left:10.8pt;margin-top:-9.3pt;width:25.05pt;height:30.1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" fillcolor="#c00000" strokecolor="#c00000" strokeweight="3pt">
                      <v:shadow on="t" color="#4c4c4c [1606]" opacity=".5" offset="1pt"/>
                      <v:textbox style="layout-flow:vertical-ideographic"/>
                    </v:shape>
                  </w:pict>
                </mc:Fallback>
              </mc:AlternateContent>
            </w:r>
          </w:p>
        </w:tc>
      </w:tr>
      <w:tr w:rsidR="001B29F9" w:rsidTr="007417AE">
        <w:tc>
          <w:tcPr>
            <w:cnfStyle w:val="001000000000" w:firstRow="0" w:lastRow="0" w:firstColumn="1" w:lastColumn="0" w:oddVBand="0" w:evenVBand="0" w:oddHBand="0" w:evenHBand="0" w:firstRowFirstColumn="0" w:firstRowLastColumn="0" w:lastRowFirstColumn="0" w:lastRowLastColumn="0"/>
            <w:tcW w:w="9740" w:type="dxa"/>
            <w:gridSpan w:val="4"/>
          </w:tcPr>
          <w:p w:rsidR="001B29F9" w:rsidRDefault="001B29F9" w:rsidP="005B075A">
            <w:r w:rsidRPr="00452470">
              <w:t>Fedezetként átvett ingatlan – visszterhes vagyonátruházási illeték</w:t>
            </w:r>
          </w:p>
        </w:tc>
      </w:tr>
      <w:tr w:rsidR="001B29F9" w:rsidTr="007417AE">
        <w:tc>
          <w:tcPr>
            <w:cnfStyle w:val="001000000000" w:firstRow="0" w:lastRow="0" w:firstColumn="1" w:lastColumn="0" w:oddVBand="0" w:evenVBand="0" w:oddHBand="0" w:evenHBand="0" w:firstRowFirstColumn="0" w:firstRowLastColumn="0" w:lastRowFirstColumn="0" w:lastRowLastColumn="0"/>
            <w:tcW w:w="2492" w:type="dxa"/>
            <w:vAlign w:val="top"/>
          </w:tcPr>
          <w:p w:rsidR="001B29F9" w:rsidRPr="001C7F5D" w:rsidRDefault="001B29F9" w:rsidP="001C7F5D">
            <w:pPr>
              <w:pStyle w:val="ListParagraph"/>
              <w:numPr>
                <w:ilvl w:val="0"/>
                <w:numId w:val="96"/>
              </w:numPr>
              <w:spacing w:after="150"/>
              <w:jc w:val="both"/>
            </w:pPr>
            <w:r w:rsidRPr="001C7F5D">
              <w:t>Amennyiben a bankok fedezet érvényesítésként ingatlantulajdonra tesznek szert, visszterhes vagyonátruházási illetéket kell fizetniük. Az adókulcs csökkentett mértékű, de ha az ingatlant a bank nem adja el 3 éven belül, büntető illetéket kell fizetnie. Az ingatlan jövőbeli értékesítése esetén a visszterhes vagyonátruházási illeték újra kivetésre kerül.</w:t>
            </w:r>
          </w:p>
        </w:tc>
        <w:tc>
          <w:tcPr>
            <w:tcW w:w="3092" w:type="dxa"/>
            <w:vAlign w:val="top"/>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A visszterhes vagyonátruházási </w:t>
            </w:r>
            <w:proofErr w:type="gramStart"/>
            <w:r>
              <w:t>illeték jelentős</w:t>
            </w:r>
            <w:proofErr w:type="gramEnd"/>
            <w:r>
              <w:t xml:space="preserve"> költség lehet, és a követelés érvényesítési folyamatokban szinte soha nem nyerhető vissza az adóstól, ami tovább növeli a hitelezési veszteségek kockázatát.</w:t>
            </w:r>
          </w:p>
        </w:tc>
        <w:tc>
          <w:tcPr>
            <w:tcW w:w="2880" w:type="dxa"/>
            <w:vAlign w:val="top"/>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A jelenlegi piaci adottságokat alapul véve, a visszterhes vagyonátruházási illetéket (időlegesen) el lehetne törölni a fedezet érvényesítésként szerzett ingatlanok esetében, vagy a bankok által alkalmazható kedvezményes adómértékkel kapcsolatban az ingatlan tartására vonatkozó időszak maximumát ki lehetne terjeszteni a jelenlegi 3 évről 6 évre (ez a maximálisan megengedett időtartam, ameddig megtarthatják a fedezetet a hitelintézeti szabályozás alapján). </w:t>
            </w:r>
          </w:p>
        </w:tc>
        <w:tc>
          <w:tcPr>
            <w:tcW w:w="1276"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67808" behindDoc="0" locked="0" layoutInCell="1" allowOverlap="1" wp14:anchorId="3801CB3C" wp14:editId="37DE92BE">
                      <wp:simplePos x="0" y="0"/>
                      <wp:positionH relativeFrom="column">
                        <wp:posOffset>140970</wp:posOffset>
                      </wp:positionH>
                      <wp:positionV relativeFrom="paragraph">
                        <wp:posOffset>-276225</wp:posOffset>
                      </wp:positionV>
                      <wp:extent cx="318135" cy="382270"/>
                      <wp:effectExtent l="76200" t="38100" r="62865" b="55880"/>
                      <wp:wrapNone/>
                      <wp:docPr id="46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382270"/>
                              </a:xfrm>
                              <a:prstGeom prst="upArrow">
                                <a:avLst>
                                  <a:gd name="adj1" fmla="val 50000"/>
                                  <a:gd name="adj2" fmla="val 30040"/>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68" style="position:absolute;margin-left:11.1pt;margin-top:-21.75pt;width:25.05pt;height:30.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" fillcolor="#c00000" strokecolor="#c00000" strokeweight="3pt">
                      <v:shadow on="t" color="#4c4c4c [1606]" opacity=".5" offset="1pt"/>
                      <v:textbox style="layout-flow:vertical-ideographic"/>
                    </v:shape>
                  </w:pict>
                </mc:Fallback>
              </mc:AlternateContent>
            </w:r>
          </w:p>
        </w:tc>
      </w:tr>
      <w:tr w:rsidR="001B29F9" w:rsidTr="007417AE">
        <w:tc>
          <w:tcPr>
            <w:cnfStyle w:val="001000000000" w:firstRow="0" w:lastRow="0" w:firstColumn="1" w:lastColumn="0" w:oddVBand="0" w:evenVBand="0" w:oddHBand="0" w:evenHBand="0" w:firstRowFirstColumn="0" w:firstRowLastColumn="0" w:lastRowFirstColumn="0" w:lastRowLastColumn="0"/>
            <w:tcW w:w="9740" w:type="dxa"/>
            <w:gridSpan w:val="4"/>
          </w:tcPr>
          <w:p w:rsidR="001B29F9" w:rsidRDefault="001B29F9" w:rsidP="005B075A">
            <w:r w:rsidRPr="00452470">
              <w:t>Fedezetként átvett ingatlan – építményadó, telekadó</w:t>
            </w:r>
            <w:r w:rsidRPr="00452470" w:rsidDel="00452470">
              <w:t xml:space="preserve"> </w:t>
            </w:r>
          </w:p>
        </w:tc>
      </w:tr>
      <w:tr w:rsidR="001B29F9" w:rsidTr="007417AE">
        <w:tc>
          <w:tcPr>
            <w:cnfStyle w:val="001000000000" w:firstRow="0" w:lastRow="0" w:firstColumn="1" w:lastColumn="0" w:oddVBand="0" w:evenVBand="0" w:oddHBand="0" w:evenHBand="0" w:firstRowFirstColumn="0" w:firstRowLastColumn="0" w:lastRowFirstColumn="0" w:lastRowLastColumn="0"/>
            <w:tcW w:w="2492" w:type="dxa"/>
            <w:vAlign w:val="top"/>
          </w:tcPr>
          <w:p w:rsidR="001B29F9" w:rsidRPr="001C7F5D" w:rsidRDefault="001B29F9" w:rsidP="001C7F5D">
            <w:pPr>
              <w:pStyle w:val="ListParagraph"/>
              <w:numPr>
                <w:ilvl w:val="0"/>
                <w:numId w:val="96"/>
              </w:numPr>
              <w:spacing w:after="150"/>
              <w:jc w:val="both"/>
            </w:pPr>
            <w:r w:rsidRPr="001C7F5D">
              <w:t xml:space="preserve">A banknak építményadót illetve telekadót kell fizetnie a fedezet érvényesítés során szerzett ingatlan után, </w:t>
            </w:r>
            <w:r w:rsidRPr="001C7F5D">
              <w:lastRenderedPageBreak/>
              <w:t>függetlenül attól, hogy hasznosítja-e az ingatlant.</w:t>
            </w:r>
          </w:p>
        </w:tc>
        <w:tc>
          <w:tcPr>
            <w:tcW w:w="3092" w:type="dxa"/>
            <w:vAlign w:val="top"/>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rsidRPr="00C8401B">
              <w:lastRenderedPageBreak/>
              <w:t xml:space="preserve">Előfordulhat, hogy a bank által átvett ingatlan nem generál </w:t>
            </w:r>
            <w:proofErr w:type="spellStart"/>
            <w:r w:rsidRPr="00C8401B">
              <w:t>cash-flowt</w:t>
            </w:r>
            <w:proofErr w:type="spellEnd"/>
            <w:r w:rsidRPr="00C8401B">
              <w:t>, ezáltal az ingatlanadó növelheti a hitelezési veszteségeket.</w:t>
            </w:r>
          </w:p>
        </w:tc>
        <w:tc>
          <w:tcPr>
            <w:tcW w:w="2880" w:type="dxa"/>
            <w:vAlign w:val="top"/>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rsidRPr="00C8401B">
              <w:t>A jelenlegi piaci adottságok mellett a bankok által fedezet érvényesítés során szerzett ingatlanok esetében el kellene törölni vagy csökkenteni kellene az ingatlanadókat.</w:t>
            </w:r>
          </w:p>
        </w:tc>
        <w:tc>
          <w:tcPr>
            <w:tcW w:w="1276"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71904" behindDoc="0" locked="0" layoutInCell="1" allowOverlap="1" wp14:anchorId="51539E5B" wp14:editId="0FEEE1B4">
                      <wp:simplePos x="0" y="0"/>
                      <wp:positionH relativeFrom="column">
                        <wp:posOffset>138430</wp:posOffset>
                      </wp:positionH>
                      <wp:positionV relativeFrom="paragraph">
                        <wp:posOffset>-205105</wp:posOffset>
                      </wp:positionV>
                      <wp:extent cx="318135" cy="382270"/>
                      <wp:effectExtent l="76200" t="38100" r="62865" b="55880"/>
                      <wp:wrapNone/>
                      <wp:docPr id="46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382270"/>
                              </a:xfrm>
                              <a:prstGeom prst="upArrow">
                                <a:avLst>
                                  <a:gd name="adj1" fmla="val 50000"/>
                                  <a:gd name="adj2" fmla="val 30040"/>
                                </a:avLst>
                              </a:prstGeom>
                              <a:noFill/>
                              <a:ln w="38100" cmpd="sng">
                                <a:solidFill>
                                  <a:schemeClr val="tx1">
                                    <a:lumMod val="100000"/>
                                    <a:lumOff val="0"/>
                                  </a:schemeClr>
                                </a:solidFill>
                                <a:prstDash val="solid"/>
                                <a:miter lim="800000"/>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solidFill>
                                      <a:srgbClr val="C00000"/>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68" style="position:absolute;margin-left:10.9pt;margin-top:-16.15pt;width:25.05pt;height:30.1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" filled="f" fillcolor="#c00000" strokecolor="black [3213]" strokeweight="3pt">
                      <v:shadow on="t" color="#4c4c4c [1606]" opacity=".5" offset="1pt"/>
                      <v:textbox style="layout-flow:vertical-ideographic"/>
                    </v:shape>
                  </w:pict>
                </mc:Fallback>
              </mc:AlternateContent>
            </w:r>
          </w:p>
        </w:tc>
      </w:tr>
      <w:tr w:rsidR="001B29F9" w:rsidTr="007417AE">
        <w:trPr>
          <w:trHeight w:val="314"/>
        </w:trPr>
        <w:tc>
          <w:tcPr>
            <w:cnfStyle w:val="001000000000" w:firstRow="0" w:lastRow="0" w:firstColumn="1" w:lastColumn="0" w:oddVBand="0" w:evenVBand="0" w:oddHBand="0" w:evenHBand="0" w:firstRowFirstColumn="0" w:firstRowLastColumn="0" w:lastRowFirstColumn="0" w:lastRowLastColumn="0"/>
            <w:tcW w:w="9740" w:type="dxa"/>
            <w:gridSpan w:val="4"/>
            <w:vAlign w:val="top"/>
          </w:tcPr>
          <w:p w:rsidR="001B29F9" w:rsidRDefault="001B29F9" w:rsidP="005B075A">
            <w:r w:rsidRPr="00452470">
              <w:lastRenderedPageBreak/>
              <w:t>A rossz adósságok törlése a könyvekből a magyar számviteli standardok szerint</w:t>
            </w:r>
          </w:p>
        </w:tc>
      </w:tr>
      <w:tr w:rsidR="001B29F9" w:rsidTr="007417AE">
        <w:trPr>
          <w:trHeight w:val="602"/>
        </w:trPr>
        <w:tc>
          <w:tcPr>
            <w:cnfStyle w:val="001000000000" w:firstRow="0" w:lastRow="0" w:firstColumn="1" w:lastColumn="0" w:oddVBand="0" w:evenVBand="0" w:oddHBand="0" w:evenHBand="0" w:firstRowFirstColumn="0" w:firstRowLastColumn="0" w:lastRowFirstColumn="0" w:lastRowLastColumn="0"/>
            <w:tcW w:w="2492" w:type="dxa"/>
            <w:vAlign w:val="top"/>
          </w:tcPr>
          <w:p w:rsidR="001B29F9" w:rsidRPr="001C7F5D" w:rsidRDefault="001B29F9" w:rsidP="001C7F5D">
            <w:pPr>
              <w:pStyle w:val="ListParagraph"/>
              <w:numPr>
                <w:ilvl w:val="0"/>
                <w:numId w:val="96"/>
              </w:numPr>
              <w:spacing w:after="150"/>
              <w:jc w:val="both"/>
            </w:pPr>
            <w:r w:rsidRPr="001C7F5D">
              <w:t xml:space="preserve">A magyar számviteli standardok szerint a </w:t>
            </w:r>
            <w:proofErr w:type="spellStart"/>
            <w:r w:rsidRPr="001C7F5D">
              <w:t>nemteljesítő</w:t>
            </w:r>
            <w:proofErr w:type="spellEnd"/>
            <w:r w:rsidRPr="001C7F5D">
              <w:t xml:space="preserve"> követelések csak akkor vezethetőek ki a könyvekből, ha kielégítenek bizonyos feltételeket. A számviteli standardok által előírt speciális feltételek csak korlátozott esetekben engedik meg a követelések kivezetését. </w:t>
            </w:r>
          </w:p>
        </w:tc>
        <w:tc>
          <w:tcPr>
            <w:tcW w:w="3092" w:type="dxa"/>
            <w:vAlign w:val="top"/>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rsidRPr="00761397">
              <w:t xml:space="preserve">A bankok olyan követeléseket is tartanak a könyveikben, amelyekre már 100 százalékos értékvesztést számoltak </w:t>
            </w:r>
            <w:proofErr w:type="gramStart"/>
            <w:r w:rsidRPr="00761397">
              <w:t>el</w:t>
            </w:r>
            <w:proofErr w:type="gramEnd"/>
            <w:r w:rsidRPr="00761397">
              <w:t xml:space="preserve"> és amelyeknél csekély remény van a megtérülésre. A bankok ezeket a követeléseket csak hosszú idő után vezethetik ki a könyveikből (általában egy felszámolási eljárást követően, ami 2-3 évet is igénybe vehet).</w:t>
            </w:r>
          </w:p>
        </w:tc>
        <w:tc>
          <w:tcPr>
            <w:tcW w:w="2880" w:type="dxa"/>
            <w:vAlign w:val="top"/>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rsidRPr="00761397">
              <w:t xml:space="preserve">Az IFRS szerint a bankok leírhatják vagy kivezethetik a rossz követeléseiket, ha nincs reális esély a megtérülésre. Magyarország tervezi, hogy bevezeti az IFRS szerinti szabályozás alkalmazását (különösen a bankokra vonatkozóan) a következő 2-3 éven belül. Így a hosszú távú tendenciákkal egybeesne, ha a magyar szabályozás hasonlítana az </w:t>
            </w:r>
            <w:proofErr w:type="spellStart"/>
            <w:r w:rsidRPr="00761397">
              <w:t>IFRS-re</w:t>
            </w:r>
            <w:proofErr w:type="spellEnd"/>
            <w:r w:rsidRPr="00761397">
              <w:t>.</w:t>
            </w:r>
          </w:p>
        </w:tc>
        <w:tc>
          <w:tcPr>
            <w:tcW w:w="1276"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68832" behindDoc="0" locked="0" layoutInCell="1" allowOverlap="1" wp14:anchorId="38E12A4F" wp14:editId="3120E773">
                      <wp:simplePos x="0" y="0"/>
                      <wp:positionH relativeFrom="column">
                        <wp:posOffset>46355</wp:posOffset>
                      </wp:positionH>
                      <wp:positionV relativeFrom="paragraph">
                        <wp:posOffset>-6350</wp:posOffset>
                      </wp:positionV>
                      <wp:extent cx="521970" cy="579120"/>
                      <wp:effectExtent l="76200" t="38100" r="49530" b="49530"/>
                      <wp:wrapNone/>
                      <wp:docPr id="46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579120"/>
                              </a:xfrm>
                              <a:prstGeom prst="upArrow">
                                <a:avLst>
                                  <a:gd name="adj1" fmla="val 50000"/>
                                  <a:gd name="adj2" fmla="val 27737"/>
                                </a:avLst>
                              </a:prstGeom>
                              <a:noFill/>
                              <a:ln w="38100" cmpd="sng">
                                <a:solidFill>
                                  <a:schemeClr val="tx1">
                                    <a:lumMod val="100000"/>
                                    <a:lumOff val="0"/>
                                  </a:schemeClr>
                                </a:solidFill>
                                <a:prstDash val="solid"/>
                                <a:miter lim="800000"/>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solidFill>
                                      <a:srgbClr val="C00000"/>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8" style="position:absolute;margin-left:3.65pt;margin-top:-.5pt;width:41.1pt;height:45.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" filled="f" fillcolor="#c00000" strokecolor="black [3213]" strokeweight="3pt">
                      <v:shadow on="t" color="#4c4c4c [1606]" opacity=".5" offset="1pt"/>
                      <v:textbox style="layout-flow:vertical-ideographic"/>
                    </v:shape>
                  </w:pict>
                </mc:Fallback>
              </mc:AlternateContent>
            </w:r>
          </w:p>
        </w:tc>
      </w:tr>
      <w:tr w:rsidR="001B29F9" w:rsidTr="007417AE">
        <w:tc>
          <w:tcPr>
            <w:cnfStyle w:val="001000000000" w:firstRow="0" w:lastRow="0" w:firstColumn="1" w:lastColumn="0" w:oddVBand="0" w:evenVBand="0" w:oddHBand="0" w:evenHBand="0" w:firstRowFirstColumn="0" w:firstRowLastColumn="0" w:lastRowFirstColumn="0" w:lastRowLastColumn="0"/>
            <w:tcW w:w="9740" w:type="dxa"/>
            <w:gridSpan w:val="4"/>
          </w:tcPr>
          <w:p w:rsidR="001B29F9" w:rsidRDefault="001B29F9" w:rsidP="005B075A">
            <w:r w:rsidRPr="00452470">
              <w:t>Az adósság átalakítása tőkévé</w:t>
            </w:r>
          </w:p>
        </w:tc>
      </w:tr>
      <w:tr w:rsidR="001B29F9" w:rsidTr="007417AE">
        <w:tc>
          <w:tcPr>
            <w:cnfStyle w:val="001000000000" w:firstRow="0" w:lastRow="0" w:firstColumn="1" w:lastColumn="0" w:oddVBand="0" w:evenVBand="0" w:oddHBand="0" w:evenHBand="0" w:firstRowFirstColumn="0" w:firstRowLastColumn="0" w:lastRowFirstColumn="0" w:lastRowLastColumn="0"/>
            <w:tcW w:w="2492" w:type="dxa"/>
            <w:vAlign w:val="top"/>
          </w:tcPr>
          <w:p w:rsidR="001B29F9" w:rsidRPr="001C7F5D" w:rsidRDefault="001B29F9" w:rsidP="001C7F5D">
            <w:pPr>
              <w:pStyle w:val="ListParagraph"/>
              <w:numPr>
                <w:ilvl w:val="0"/>
                <w:numId w:val="96"/>
              </w:numPr>
              <w:spacing w:after="150"/>
              <w:jc w:val="both"/>
            </w:pPr>
            <w:r w:rsidRPr="001C7F5D">
              <w:t xml:space="preserve">A </w:t>
            </w:r>
            <w:proofErr w:type="spellStart"/>
            <w:r w:rsidRPr="001C7F5D">
              <w:t>restrukturálás</w:t>
            </w:r>
            <w:proofErr w:type="spellEnd"/>
            <w:r w:rsidRPr="001C7F5D">
              <w:t xml:space="preserve"> során az adósság tőkévé történő átalakítása miatt az adós általában nyereséget mutat ki a könyveiben. E nyereség után az adósnak társasági adót kell fizetnie.</w:t>
            </w:r>
          </w:p>
        </w:tc>
        <w:tc>
          <w:tcPr>
            <w:tcW w:w="3092" w:type="dxa"/>
            <w:vAlign w:val="top"/>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Az adós adókötelezettsége csökkenti az </w:t>
            </w:r>
            <w:proofErr w:type="spellStart"/>
            <w:r>
              <w:t>adósság-restrukturálás</w:t>
            </w:r>
            <w:proofErr w:type="spellEnd"/>
            <w:r>
              <w:t xml:space="preserve"> hatékonyságát és cash-flow problémákat okozhat az adósnak.</w:t>
            </w:r>
          </w:p>
        </w:tc>
        <w:tc>
          <w:tcPr>
            <w:tcW w:w="2880" w:type="dxa"/>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Az elszámolt nyereség adómentessé tétele azon adósok számára, akiknél az adósság tőkévé történő átalakítására a már fennálló vagy a fenyegető fizetésképtelenség miatt kerül sor, vagy annak engedélyezése, hogy az elszámolt nyereség egészével korlátozás nélkül szembe lehessen állítani a korábbi évekről áthozott adóveszteségeket.</w:t>
            </w:r>
          </w:p>
        </w:tc>
        <w:tc>
          <w:tcPr>
            <w:tcW w:w="1276"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69856" behindDoc="0" locked="0" layoutInCell="1" allowOverlap="1" wp14:anchorId="31E5615A" wp14:editId="47D492D3">
                      <wp:simplePos x="0" y="0"/>
                      <wp:positionH relativeFrom="column">
                        <wp:posOffset>153035</wp:posOffset>
                      </wp:positionH>
                      <wp:positionV relativeFrom="paragraph">
                        <wp:posOffset>-24130</wp:posOffset>
                      </wp:positionV>
                      <wp:extent cx="318135" cy="382270"/>
                      <wp:effectExtent l="76200" t="38100" r="62865" b="55880"/>
                      <wp:wrapNone/>
                      <wp:docPr id="46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382270"/>
                              </a:xfrm>
                              <a:prstGeom prst="upArrow">
                                <a:avLst>
                                  <a:gd name="adj1" fmla="val 50000"/>
                                  <a:gd name="adj2" fmla="val 30040"/>
                                </a:avLst>
                              </a:prstGeom>
                              <a:noFill/>
                              <a:ln w="38100" cmpd="sng">
                                <a:solidFill>
                                  <a:schemeClr val="tx1">
                                    <a:lumMod val="100000"/>
                                    <a:lumOff val="0"/>
                                  </a:schemeClr>
                                </a:solidFill>
                                <a:prstDash val="solid"/>
                                <a:miter lim="800000"/>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solidFill>
                                      <a:srgbClr val="C00000"/>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68" style="position:absolute;margin-left:12.05pt;margin-top:-1.9pt;width:25.05pt;height:30.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" filled="f" fillcolor="#c00000" strokecolor="black [3213]" strokeweight="3pt">
                      <v:shadow on="t" color="#4c4c4c [1606]" opacity=".5" offset="1pt"/>
                      <v:textbox style="layout-flow:vertical-ideographic"/>
                    </v:shape>
                  </w:pict>
                </mc:Fallback>
              </mc:AlternateContent>
            </w:r>
          </w:p>
        </w:tc>
      </w:tr>
      <w:tr w:rsidR="001B29F9" w:rsidTr="007417AE">
        <w:tc>
          <w:tcPr>
            <w:cnfStyle w:val="001000000000" w:firstRow="0" w:lastRow="0" w:firstColumn="1" w:lastColumn="0" w:oddVBand="0" w:evenVBand="0" w:oddHBand="0" w:evenHBand="0" w:firstRowFirstColumn="0" w:firstRowLastColumn="0" w:lastRowFirstColumn="0" w:lastRowLastColumn="0"/>
            <w:tcW w:w="2492" w:type="dxa"/>
            <w:vAlign w:val="top"/>
          </w:tcPr>
          <w:p w:rsidR="001B29F9" w:rsidRPr="001C7F5D" w:rsidRDefault="001B29F9" w:rsidP="001C7F5D">
            <w:pPr>
              <w:pStyle w:val="ListParagraph"/>
              <w:numPr>
                <w:ilvl w:val="0"/>
                <w:numId w:val="96"/>
              </w:numPr>
              <w:spacing w:after="150"/>
              <w:jc w:val="both"/>
            </w:pPr>
            <w:r w:rsidRPr="001C7F5D">
              <w:t xml:space="preserve">Az IFRS 10-es számviteli standardja (Konszolidált Pénzügyi Beszámolók) megköveteli a bankoktól, hogy konszolidálják az </w:t>
            </w:r>
            <w:r w:rsidRPr="001C7F5D">
              <w:lastRenderedPageBreak/>
              <w:t>adósokat, ha a banknak érdekeltsége van az adósban és az előírt kritériumok alapján befolyása van az adós felett hatásköri vagy a nyereséggel kapcsolatos tényezőkön keresztül.</w:t>
            </w:r>
          </w:p>
        </w:tc>
        <w:tc>
          <w:tcPr>
            <w:tcW w:w="3092" w:type="dxa"/>
            <w:vAlign w:val="top"/>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lastRenderedPageBreak/>
              <w:t xml:space="preserve">A konszolidálás jelentős adminisztratív teher a bankoknak, és ez problémát okoz a magyar leánybankok külföldi anyabankjainak. </w:t>
            </w:r>
          </w:p>
        </w:tc>
        <w:tc>
          <w:tcPr>
            <w:tcW w:w="2880" w:type="dxa"/>
          </w:tcPr>
          <w:p w:rsidR="00D16E66"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Csak minimális lehetőség van az IFRS szabályok megváltoztatására. Várakozásaink szerint az adósság-tőke </w:t>
            </w:r>
            <w:proofErr w:type="gramStart"/>
            <w:r>
              <w:t>konverzió</w:t>
            </w:r>
            <w:proofErr w:type="gramEnd"/>
            <w:r>
              <w:t xml:space="preserve"> mint </w:t>
            </w:r>
            <w:proofErr w:type="spellStart"/>
            <w:r>
              <w:t>adósság-restrukturálási</w:t>
            </w:r>
            <w:proofErr w:type="spellEnd"/>
            <w:r>
              <w:t xml:space="preserve"> eszköz egy kevésbé előnyös opció lehet azon bankok </w:t>
            </w:r>
            <w:r>
              <w:lastRenderedPageBreak/>
              <w:t>számára, ahol ez befolyással bíró részesedést eredményezne az adósban</w:t>
            </w:r>
            <w:r>
              <w:rPr>
                <w:rStyle w:val="FootnoteReference"/>
              </w:rPr>
              <w:footnoteReference w:id="3"/>
            </w:r>
            <w:r>
              <w:t xml:space="preserve">. </w:t>
            </w:r>
          </w:p>
          <w:p w:rsidR="001B29F9" w:rsidRDefault="001B29F9" w:rsidP="00D47A2A">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Javasoljuk</w:t>
            </w:r>
            <w:r w:rsidR="00D16E66">
              <w:t xml:space="preserve"> annak átgondolását, hogy miként elégíthető ki a problémás eszközök beszámolóban való bemutatásához fűződő közérdek, és amennyiben megfelelő megoldás adódik, akkor</w:t>
            </w:r>
            <w:r>
              <w:t xml:space="preserve"> a releváns nemzetközi IFRS testületnél felvetni annak az ötletét, hogy a már fennálló illetve a fenyegető </w:t>
            </w:r>
            <w:proofErr w:type="spellStart"/>
            <w:r>
              <w:t>inszolvencia</w:t>
            </w:r>
            <w:proofErr w:type="spellEnd"/>
            <w:r>
              <w:t xml:space="preserve"> esetében</w:t>
            </w:r>
            <w:r w:rsidR="00D16E66">
              <w:t xml:space="preserve"> könnyítsenek</w:t>
            </w:r>
            <w:r>
              <w:t xml:space="preserve"> a konszolidációs </w:t>
            </w:r>
            <w:r w:rsidR="00D16E66">
              <w:t>következményeken</w:t>
            </w:r>
            <w:r>
              <w:t>.</w:t>
            </w:r>
          </w:p>
        </w:tc>
        <w:tc>
          <w:tcPr>
            <w:tcW w:w="1276"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w:lastRenderedPageBreak/>
              <mc:AlternateContent>
                <mc:Choice Requires="wps">
                  <w:drawing>
                    <wp:anchor distT="0" distB="0" distL="114300" distR="114300" simplePos="0" relativeHeight="251770880" behindDoc="0" locked="0" layoutInCell="1" allowOverlap="1" wp14:anchorId="2885C554" wp14:editId="2EEFFE95">
                      <wp:simplePos x="0" y="0"/>
                      <wp:positionH relativeFrom="column">
                        <wp:posOffset>39370</wp:posOffset>
                      </wp:positionH>
                      <wp:positionV relativeFrom="paragraph">
                        <wp:posOffset>-213360</wp:posOffset>
                      </wp:positionV>
                      <wp:extent cx="521970" cy="579120"/>
                      <wp:effectExtent l="76200" t="38100" r="49530" b="49530"/>
                      <wp:wrapNone/>
                      <wp:docPr id="46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579120"/>
                              </a:xfrm>
                              <a:prstGeom prst="upArrow">
                                <a:avLst>
                                  <a:gd name="adj1" fmla="val 50000"/>
                                  <a:gd name="adj2" fmla="val 27737"/>
                                </a:avLst>
                              </a:prstGeom>
                              <a:noFill/>
                              <a:ln w="38100" cmpd="sng">
                                <a:solidFill>
                                  <a:schemeClr val="tx1">
                                    <a:lumMod val="100000"/>
                                    <a:lumOff val="0"/>
                                  </a:schemeClr>
                                </a:solidFill>
                                <a:prstDash val="solid"/>
                                <a:miter lim="800000"/>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solidFill>
                                      <a:srgbClr val="C00000"/>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8" style="position:absolute;margin-left:3.1pt;margin-top:-16.8pt;width:41.1pt;height:45.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" filled="f" fillcolor="#c00000" strokecolor="black [3213]" strokeweight="3pt">
                      <v:shadow on="t" color="#4c4c4c [1606]" opacity=".5" offset="1pt"/>
                      <v:textbox style="layout-flow:vertical-ideographic"/>
                    </v:shape>
                  </w:pict>
                </mc:Fallback>
              </mc:AlternateContent>
            </w:r>
          </w:p>
        </w:tc>
      </w:tr>
    </w:tbl>
    <w:p w:rsidR="001B29F9" w:rsidRDefault="001B29F9" w:rsidP="001B29F9"/>
    <w:p w:rsidR="00D16E66" w:rsidRDefault="00D16E66" w:rsidP="001B29F9">
      <w:pPr>
        <w:spacing w:line="240" w:lineRule="auto"/>
        <w:rPr>
          <w:b/>
        </w:rPr>
      </w:pPr>
    </w:p>
    <w:p w:rsidR="00D16E66" w:rsidRDefault="00D16E66" w:rsidP="001B29F9">
      <w:pPr>
        <w:spacing w:line="240" w:lineRule="auto"/>
        <w:rPr>
          <w:b/>
        </w:rPr>
      </w:pPr>
    </w:p>
    <w:p w:rsidR="001B29F9" w:rsidRDefault="001B29F9" w:rsidP="001B29F9">
      <w:pPr>
        <w:spacing w:line="240" w:lineRule="auto"/>
        <w:rPr>
          <w:b/>
        </w:rPr>
      </w:pPr>
      <w:r w:rsidRPr="001A471B">
        <w:rPr>
          <w:b/>
        </w:rPr>
        <w:t xml:space="preserve">7. </w:t>
      </w:r>
      <w:r>
        <w:rPr>
          <w:b/>
        </w:rPr>
        <w:t xml:space="preserve">Erősebb bírósági jogszabályi keretrendszer az NPL </w:t>
      </w:r>
      <w:r w:rsidRPr="00114E3B">
        <w:rPr>
          <w:b/>
        </w:rPr>
        <w:t>állomány csökkentés</w:t>
      </w:r>
      <w:r>
        <w:rPr>
          <w:b/>
        </w:rPr>
        <w:t>ének elősegítésére</w:t>
      </w:r>
    </w:p>
    <w:p w:rsidR="001B29F9" w:rsidRPr="001A471B" w:rsidRDefault="001B29F9" w:rsidP="001B29F9">
      <w:pPr>
        <w:spacing w:line="240" w:lineRule="auto"/>
        <w:rPr>
          <w:b/>
        </w:rPr>
      </w:pPr>
    </w:p>
    <w:tbl>
      <w:tblPr>
        <w:tblStyle w:val="tblzat-fejlces"/>
        <w:tblW w:w="0" w:type="auto"/>
        <w:tblLayout w:type="fixed"/>
        <w:tblLook w:val="04A0" w:firstRow="1" w:lastRow="0" w:firstColumn="1" w:lastColumn="0" w:noHBand="0" w:noVBand="1"/>
      </w:tblPr>
      <w:tblGrid>
        <w:gridCol w:w="2448"/>
        <w:gridCol w:w="3060"/>
        <w:gridCol w:w="2880"/>
        <w:gridCol w:w="1260"/>
      </w:tblGrid>
      <w:tr w:rsidR="001B29F9" w:rsidTr="005B0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1B29F9" w:rsidRDefault="001B29F9" w:rsidP="005B075A">
            <w:r>
              <w:t>Szabályozási háttér</w:t>
            </w:r>
          </w:p>
        </w:tc>
        <w:tc>
          <w:tcPr>
            <w:tcW w:w="3060" w:type="dxa"/>
          </w:tcPr>
          <w:p w:rsidR="001B29F9" w:rsidRDefault="001B29F9" w:rsidP="005B075A">
            <w:pPr>
              <w:cnfStyle w:val="100000000000" w:firstRow="1" w:lastRow="0" w:firstColumn="0" w:lastColumn="0" w:oddVBand="0" w:evenVBand="0" w:oddHBand="0" w:evenHBand="0" w:firstRowFirstColumn="0" w:firstRowLastColumn="0" w:lastRowFirstColumn="0" w:lastRowLastColumn="0"/>
            </w:pPr>
            <w:r>
              <w:t>Azonosított gyakorlati probléma</w:t>
            </w:r>
          </w:p>
        </w:tc>
        <w:tc>
          <w:tcPr>
            <w:tcW w:w="2880" w:type="dxa"/>
          </w:tcPr>
          <w:p w:rsidR="001B29F9" w:rsidRDefault="001B29F9" w:rsidP="005B075A">
            <w:pPr>
              <w:cnfStyle w:val="100000000000" w:firstRow="1" w:lastRow="0" w:firstColumn="0" w:lastColumn="0" w:oddVBand="0" w:evenVBand="0" w:oddHBand="0" w:evenHBand="0" w:firstRowFirstColumn="0" w:firstRowLastColumn="0" w:lastRowFirstColumn="0" w:lastRowLastColumn="0"/>
            </w:pPr>
            <w:r>
              <w:t>Potenciális megoldási lehetőség</w:t>
            </w:r>
          </w:p>
        </w:tc>
        <w:tc>
          <w:tcPr>
            <w:tcW w:w="1260" w:type="dxa"/>
          </w:tcPr>
          <w:p w:rsidR="001B29F9" w:rsidRDefault="001B29F9" w:rsidP="005B075A">
            <w:pPr>
              <w:cnfStyle w:val="100000000000" w:firstRow="1" w:lastRow="0" w:firstColumn="0" w:lastColumn="0" w:oddVBand="0" w:evenVBand="0" w:oddHBand="0" w:evenHBand="0" w:firstRowFirstColumn="0" w:firstRowLastColumn="0" w:lastRowFirstColumn="0" w:lastRowLastColumn="0"/>
            </w:pPr>
            <w:r>
              <w:t>Prioritás</w:t>
            </w:r>
          </w:p>
        </w:tc>
      </w:tr>
      <w:tr w:rsidR="001B29F9" w:rsidTr="005B075A">
        <w:tc>
          <w:tcPr>
            <w:cnfStyle w:val="001000000000" w:firstRow="0" w:lastRow="0" w:firstColumn="1" w:lastColumn="0" w:oddVBand="0" w:evenVBand="0" w:oddHBand="0" w:evenHBand="0" w:firstRowFirstColumn="0" w:firstRowLastColumn="0" w:lastRowFirstColumn="0" w:lastRowLastColumn="0"/>
            <w:tcW w:w="2448" w:type="dxa"/>
            <w:vAlign w:val="top"/>
          </w:tcPr>
          <w:p w:rsidR="001B29F9" w:rsidRPr="001C7F5D" w:rsidRDefault="001B29F9" w:rsidP="001C7F5D">
            <w:pPr>
              <w:pStyle w:val="ListParagraph"/>
              <w:numPr>
                <w:ilvl w:val="0"/>
                <w:numId w:val="97"/>
              </w:numPr>
              <w:spacing w:after="150"/>
              <w:jc w:val="both"/>
            </w:pPr>
            <w:r w:rsidRPr="001C7F5D">
              <w:t>A csődeljárás folyamatában egy követelés vitatott besorolást kap, ha a követeléssel kapcsolatban bírósági vagy hatósági eljárás van folyamatban, vagy ha így döntött a vagyonfelügyelő.</w:t>
            </w:r>
          </w:p>
          <w:p w:rsidR="001B29F9" w:rsidRPr="001C7F5D" w:rsidRDefault="001B29F9" w:rsidP="001C7F5D">
            <w:pPr>
              <w:pStyle w:val="ListParagraph"/>
              <w:numPr>
                <w:ilvl w:val="0"/>
                <w:numId w:val="97"/>
              </w:numPr>
              <w:spacing w:after="150"/>
              <w:jc w:val="both"/>
            </w:pPr>
            <w:r w:rsidRPr="001C7F5D">
              <w:t xml:space="preserve">A folyamatban lévő bírósági eljárás rendes bíróság előtt </w:t>
            </w:r>
            <w:r w:rsidRPr="001C7F5D">
              <w:lastRenderedPageBreak/>
              <w:t>zajlik, nem a csődeljárásban eljáró bíróság előtt.</w:t>
            </w:r>
          </w:p>
          <w:p w:rsidR="001B29F9" w:rsidRPr="001C7F5D" w:rsidRDefault="001B29F9" w:rsidP="001C7F5D">
            <w:pPr>
              <w:pStyle w:val="ListParagraph"/>
              <w:numPr>
                <w:ilvl w:val="0"/>
                <w:numId w:val="97"/>
              </w:numPr>
              <w:spacing w:after="150"/>
              <w:jc w:val="both"/>
            </w:pPr>
            <w:r w:rsidRPr="001C7F5D">
              <w:t>Vitatott követelésekkel rendelkező hitelezők nem rendelkeznek szavazati joggal az egyezségi tárgyalásokon.</w:t>
            </w:r>
          </w:p>
        </w:tc>
        <w:tc>
          <w:tcPr>
            <w:tcW w:w="3060" w:type="dxa"/>
          </w:tcPr>
          <w:p w:rsidR="001B29F9" w:rsidRPr="001A471B"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lastRenderedPageBreak/>
              <w:t>A rosszhiszemű adósok gyakran kezdeményeznek bírósági eljárást a hitelezővel szemben, mielőtt csődeljárást kezdeményeznek maguk ellen, hogy így kizárják a hitelezőt a szavazásból.</w:t>
            </w:r>
          </w:p>
          <w:p w:rsidR="001B29F9" w:rsidRPr="001A471B"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Az eljárás elhúzódhat, és nem feltétlenül ér véget a csődeljárás lezárása előtt. </w:t>
            </w:r>
          </w:p>
          <w:p w:rsidR="001B29F9" w:rsidRPr="001A471B"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vagyonfelügyelő és a csődbíróság hibás gyakorlata miatt az egész követelés vitatott besorolást kap, még ha a bírósági eljárás a követelésnek csak egy részét érinti is.</w:t>
            </w:r>
          </w:p>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Ennek eredményeképpen a </w:t>
            </w:r>
            <w:r>
              <w:lastRenderedPageBreak/>
              <w:t>jóhiszemű hitelezők kizáródhatnak az egyezségi javaslatra vonatkozószavazásból.</w:t>
            </w:r>
          </w:p>
        </w:tc>
        <w:tc>
          <w:tcPr>
            <w:tcW w:w="2880" w:type="dxa"/>
            <w:vAlign w:val="top"/>
          </w:tcPr>
          <w:p w:rsidR="001B29F9" w:rsidRPr="001A471B"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lastRenderedPageBreak/>
              <w:t>A vagyonfelügyelőnek és a csődbíróságoknak különös figyelmet kellene szentelniük a kereset benyújtásának dátumára és az adós által kezdeményezett peres eljárás egyéb körülményeire.</w:t>
            </w:r>
          </w:p>
          <w:p w:rsidR="001B29F9" w:rsidRPr="001A471B"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törvényhozásnak tisztáznia kellene, hogy csak a peres eljárással érintett követelésrész sorolható a vitatott kategóriába.</w:t>
            </w:r>
          </w:p>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A csődeljárásban eljáró bíróságnak kellene egyúttal elbírálnia a </w:t>
            </w:r>
            <w:proofErr w:type="spellStart"/>
            <w:r>
              <w:t>pereseljárást</w:t>
            </w:r>
            <w:proofErr w:type="spellEnd"/>
            <w:r>
              <w:t xml:space="preserve"> is. Fizetésképtelenségi </w:t>
            </w:r>
            <w:r>
              <w:lastRenderedPageBreak/>
              <w:t>ügyekre specializálódott bírói csoportokat vagy különálló bíróságot kellene felállítani, hogy egy szervezeten belül lehessen elbírálni a kapcsolódó peres eljárásokat.</w:t>
            </w:r>
          </w:p>
        </w:tc>
        <w:tc>
          <w:tcPr>
            <w:tcW w:w="1260"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w:lastRenderedPageBreak/>
              <mc:AlternateContent>
                <mc:Choice Requires="wps">
                  <w:drawing>
                    <wp:anchor distT="0" distB="0" distL="114300" distR="114300" simplePos="0" relativeHeight="251735040" behindDoc="0" locked="0" layoutInCell="1" allowOverlap="1" wp14:anchorId="19B88A7F" wp14:editId="57A5D944">
                      <wp:simplePos x="0" y="0"/>
                      <wp:positionH relativeFrom="column">
                        <wp:posOffset>74295</wp:posOffset>
                      </wp:positionH>
                      <wp:positionV relativeFrom="paragraph">
                        <wp:posOffset>-98425</wp:posOffset>
                      </wp:positionV>
                      <wp:extent cx="499745" cy="579755"/>
                      <wp:effectExtent l="76200" t="38100" r="52705" b="48895"/>
                      <wp:wrapNone/>
                      <wp:docPr id="46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79755"/>
                              </a:xfrm>
                              <a:prstGeom prst="upArrow">
                                <a:avLst>
                                  <a:gd name="adj1" fmla="val 50000"/>
                                  <a:gd name="adj2" fmla="val 29003"/>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68" style="position:absolute;margin-left:5.85pt;margin-top:-7.75pt;width:39.35pt;height:45.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" fillcolor="#c00000" strokecolor="#c00000" strokeweight="3pt">
                      <v:shadow on="t" color="#4c4c4c [1606]" opacity=".5" offset="1pt"/>
                      <v:textbox style="layout-flow:vertical-ideographic"/>
                    </v:shape>
                  </w:pict>
                </mc:Fallback>
              </mc:AlternateContent>
            </w:r>
          </w:p>
        </w:tc>
      </w:tr>
      <w:tr w:rsidR="001B29F9" w:rsidTr="005B075A">
        <w:tc>
          <w:tcPr>
            <w:cnfStyle w:val="001000000000" w:firstRow="0" w:lastRow="0" w:firstColumn="1" w:lastColumn="0" w:oddVBand="0" w:evenVBand="0" w:oddHBand="0" w:evenHBand="0" w:firstRowFirstColumn="0" w:firstRowLastColumn="0" w:lastRowFirstColumn="0" w:lastRowLastColumn="0"/>
            <w:tcW w:w="2448" w:type="dxa"/>
            <w:vAlign w:val="top"/>
          </w:tcPr>
          <w:p w:rsidR="001B29F9" w:rsidRPr="001C7F5D" w:rsidRDefault="001B29F9" w:rsidP="001C7F5D">
            <w:pPr>
              <w:pStyle w:val="ListParagraph"/>
              <w:numPr>
                <w:ilvl w:val="0"/>
                <w:numId w:val="97"/>
              </w:numPr>
              <w:spacing w:after="150"/>
              <w:jc w:val="both"/>
            </w:pPr>
            <w:r w:rsidRPr="001C7F5D">
              <w:lastRenderedPageBreak/>
              <w:t xml:space="preserve">A csődeljárás során az egyezségi </w:t>
            </w:r>
            <w:proofErr w:type="spellStart"/>
            <w:r w:rsidRPr="001C7F5D">
              <w:t>tárgyalásona</w:t>
            </w:r>
            <w:proofErr w:type="spellEnd"/>
            <w:r w:rsidRPr="001C7F5D">
              <w:t xml:space="preserve"> döntéshozatalhoz elég a regisztrált hitelezők egyszerű többsége a biztosított és a nem biztosított hitelezői osztályban is.</w:t>
            </w:r>
          </w:p>
          <w:p w:rsidR="001B29F9" w:rsidRPr="001C7F5D" w:rsidRDefault="001B29F9" w:rsidP="001C7F5D">
            <w:pPr>
              <w:pStyle w:val="ListParagraph"/>
              <w:numPr>
                <w:ilvl w:val="0"/>
                <w:numId w:val="97"/>
              </w:numPr>
              <w:spacing w:after="150"/>
              <w:jc w:val="both"/>
            </w:pPr>
            <w:r w:rsidRPr="001C7F5D">
              <w:t>A jóváhagyott csődegyezségi megállapodás köti a nem beleegyező hitelezőket is.</w:t>
            </w:r>
          </w:p>
        </w:tc>
        <w:tc>
          <w:tcPr>
            <w:tcW w:w="3060" w:type="dxa"/>
            <w:vAlign w:val="top"/>
          </w:tcPr>
          <w:p w:rsidR="001B29F9" w:rsidRPr="001A471B"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A rosszhiszemű adósok gyakran befolyásolják a szavazás kimenetelét fiktív követelések létrehozásával, amelyek </w:t>
            </w:r>
            <w:proofErr w:type="gramStart"/>
            <w:r>
              <w:t>jogosultja  kapcsolódik</w:t>
            </w:r>
            <w:proofErr w:type="gramEnd"/>
            <w:r>
              <w:t xml:space="preserve"> az adóshoz.</w:t>
            </w:r>
          </w:p>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vagyonfelügyelők és a bíróságok csak formális szempontból tekintik át a hitelezők által bejelentett követeléseket, nincs kapacitásuk, illetve felhatalmazásuk megvizsgálni és kiszűrni a fiktív hitelezőket.</w:t>
            </w:r>
          </w:p>
        </w:tc>
        <w:tc>
          <w:tcPr>
            <w:tcW w:w="2880" w:type="dxa"/>
          </w:tcPr>
          <w:p w:rsidR="001B29F9" w:rsidRPr="001A471B"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Fizetésképtelenségi ügyekre specializálódott bírói csoportokat vagy különálló bíróságot kellene felállítani, az érintett bírók speciális gazdasági és számviteli képzésével együtt, ami lehetővé teszi számukra a gyanús követelések jobb kiszűrését.</w:t>
            </w:r>
          </w:p>
          <w:p w:rsidR="001B29F9" w:rsidRPr="001A471B" w:rsidRDefault="004057CC"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36064" behindDoc="0" locked="0" layoutInCell="1" allowOverlap="1" wp14:anchorId="108CE936" wp14:editId="08DB787D">
                      <wp:simplePos x="0" y="0"/>
                      <wp:positionH relativeFrom="column">
                        <wp:posOffset>1905635</wp:posOffset>
                      </wp:positionH>
                      <wp:positionV relativeFrom="paragraph">
                        <wp:posOffset>261620</wp:posOffset>
                      </wp:positionV>
                      <wp:extent cx="499745" cy="579755"/>
                      <wp:effectExtent l="76200" t="38100" r="52705" b="48895"/>
                      <wp:wrapNone/>
                      <wp:docPr id="45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79755"/>
                              </a:xfrm>
                              <a:prstGeom prst="upArrow">
                                <a:avLst>
                                  <a:gd name="adj1" fmla="val 50000"/>
                                  <a:gd name="adj2" fmla="val 29003"/>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68" style="position:absolute;margin-left:150.05pt;margin-top:20.6pt;width:39.35pt;height:45.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" fillcolor="#c00000" strokecolor="#c00000" strokeweight="3pt">
                      <v:shadow on="t" color="#4c4c4c [1606]" opacity=".5" offset="1pt"/>
                      <v:textbox style="layout-flow:vertical-ideographic"/>
                    </v:shape>
                  </w:pict>
                </mc:Fallback>
              </mc:AlternateContent>
            </w:r>
            <w:r w:rsidR="001B29F9">
              <w:t>A vagyonfelügyelőknek és a bíróságoknak hozzáférést kellene kapniuk az adós pénzügyeire vonatkozó hatósági és banki információkhoz, a vagyonfelügyelőknek kötelességük kellene, hogy legyen megvizsgálni a gyanús követeléseket.</w:t>
            </w:r>
          </w:p>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Az adós kísérleteit fiktív hitelezők bejegyzésére törvényileg szankcionálni kellene.</w:t>
            </w:r>
          </w:p>
        </w:tc>
        <w:tc>
          <w:tcPr>
            <w:tcW w:w="1260" w:type="dxa"/>
          </w:tcPr>
          <w:p w:rsidR="001B29F9" w:rsidRDefault="001B29F9" w:rsidP="005B075A">
            <w:pPr>
              <w:cnfStyle w:val="000000000000" w:firstRow="0" w:lastRow="0" w:firstColumn="0" w:lastColumn="0" w:oddVBand="0" w:evenVBand="0" w:oddHBand="0" w:evenHBand="0" w:firstRowFirstColumn="0" w:firstRowLastColumn="0" w:lastRowFirstColumn="0" w:lastRowLastColumn="0"/>
            </w:pPr>
          </w:p>
        </w:tc>
      </w:tr>
      <w:tr w:rsidR="001B29F9" w:rsidTr="005B075A">
        <w:tc>
          <w:tcPr>
            <w:cnfStyle w:val="001000000000" w:firstRow="0" w:lastRow="0" w:firstColumn="1" w:lastColumn="0" w:oddVBand="0" w:evenVBand="0" w:oddHBand="0" w:evenHBand="0" w:firstRowFirstColumn="0" w:firstRowLastColumn="0" w:lastRowFirstColumn="0" w:lastRowLastColumn="0"/>
            <w:tcW w:w="2448" w:type="dxa"/>
            <w:vAlign w:val="top"/>
          </w:tcPr>
          <w:p w:rsidR="001B29F9" w:rsidRPr="001C7F5D" w:rsidRDefault="001B29F9" w:rsidP="001C7F5D">
            <w:pPr>
              <w:pStyle w:val="ListParagraph"/>
              <w:numPr>
                <w:ilvl w:val="0"/>
                <w:numId w:val="97"/>
              </w:numPr>
              <w:spacing w:after="150"/>
              <w:jc w:val="both"/>
            </w:pPr>
            <w:r w:rsidRPr="001C7F5D">
              <w:t xml:space="preserve">A csődeljárásban a bíróságnak csak azt kell megvizsgálnia, hogy a csődegyezség a </w:t>
            </w:r>
            <w:proofErr w:type="spellStart"/>
            <w:r w:rsidRPr="001C7F5D">
              <w:t>Csődtörvénnyelösszhangban</w:t>
            </w:r>
            <w:proofErr w:type="spellEnd"/>
            <w:r w:rsidRPr="001C7F5D">
              <w:t xml:space="preserve"> van-e.</w:t>
            </w:r>
          </w:p>
        </w:tc>
        <w:tc>
          <w:tcPr>
            <w:tcW w:w="3060" w:type="dxa"/>
            <w:vAlign w:val="top"/>
          </w:tcPr>
          <w:p w:rsidR="001B29F9" w:rsidRPr="001A471B"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Általában a bíróság csupán a csődegyezség és az azt megelőző eljárás technikai részleteinek formális vizsgálatát folytatja le.</w:t>
            </w:r>
          </w:p>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csődegyezség, valamint az azt megelőző csődeljárás lényegi tartalma és pénzügyi kivitelezhetősége kívül esik a bíróság vizsgálatának nézőpontján.</w:t>
            </w:r>
          </w:p>
        </w:tc>
        <w:tc>
          <w:tcPr>
            <w:tcW w:w="2880" w:type="dxa"/>
            <w:vAlign w:val="top"/>
          </w:tcPr>
          <w:p w:rsidR="001B29F9" w:rsidRPr="001A471B"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A bíróságoknak jogosultságot kellene kapniuk arra, hogy ahol szükséges, szakértői inputokra támaszkodhassanak a </w:t>
            </w:r>
            <w:proofErr w:type="gramStart"/>
            <w:r>
              <w:t>csődegyezség  áttekintésében</w:t>
            </w:r>
            <w:proofErr w:type="gramEnd"/>
            <w:r>
              <w:t>.</w:t>
            </w:r>
          </w:p>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Fizetésképtelenségi ügyekre specializálódott bírói csoportokat vagy különálló bíróságot kellene felállítani, az érintett bírók  speciális gazdasági, számviteli, adózási, vállalatirányítási, </w:t>
            </w:r>
            <w:r>
              <w:lastRenderedPageBreak/>
              <w:t xml:space="preserve">reorganizációs és válságmenedzsment tárgyú képzésével együtt, hogy meg tudják ítélni a csődegyezség és a reorganizációs terv megvalósíthatóságát, valamint adott </w:t>
            </w:r>
            <w:proofErr w:type="gramStart"/>
            <w:r>
              <w:t>társaság működő</w:t>
            </w:r>
            <w:proofErr w:type="gramEnd"/>
            <w:r>
              <w:t xml:space="preserve"> üzemként </w:t>
            </w:r>
            <w:proofErr w:type="spellStart"/>
            <w:r>
              <w:t>valóéletképességét</w:t>
            </w:r>
            <w:proofErr w:type="spellEnd"/>
            <w:r>
              <w:t>.</w:t>
            </w:r>
          </w:p>
        </w:tc>
        <w:tc>
          <w:tcPr>
            <w:tcW w:w="1260"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w:lastRenderedPageBreak/>
              <mc:AlternateContent>
                <mc:Choice Requires="wps">
                  <w:drawing>
                    <wp:anchor distT="0" distB="0" distL="114300" distR="114300" simplePos="0" relativeHeight="251737088" behindDoc="0" locked="0" layoutInCell="1" allowOverlap="1" wp14:anchorId="66AA0BE7" wp14:editId="24979B79">
                      <wp:simplePos x="0" y="0"/>
                      <wp:positionH relativeFrom="column">
                        <wp:posOffset>72390</wp:posOffset>
                      </wp:positionH>
                      <wp:positionV relativeFrom="paragraph">
                        <wp:posOffset>-132080</wp:posOffset>
                      </wp:positionV>
                      <wp:extent cx="499745" cy="579755"/>
                      <wp:effectExtent l="76200" t="38100" r="52705" b="48895"/>
                      <wp:wrapNone/>
                      <wp:docPr id="458"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79755"/>
                              </a:xfrm>
                              <a:prstGeom prst="upArrow">
                                <a:avLst>
                                  <a:gd name="adj1" fmla="val 50000"/>
                                  <a:gd name="adj2" fmla="val 29003"/>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68" style="position:absolute;margin-left:5.7pt;margin-top:-10.4pt;width:39.35pt;height:45.6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" fillcolor="#c00000" strokecolor="#c00000" strokeweight="3pt">
                      <v:shadow on="t" color="#4c4c4c [1606]" opacity=".5" offset="1pt"/>
                      <v:textbox style="layout-flow:vertical-ideographic"/>
                    </v:shape>
                  </w:pict>
                </mc:Fallback>
              </mc:AlternateContent>
            </w:r>
          </w:p>
        </w:tc>
      </w:tr>
      <w:tr w:rsidR="001B29F9" w:rsidTr="005B075A">
        <w:tc>
          <w:tcPr>
            <w:cnfStyle w:val="001000000000" w:firstRow="0" w:lastRow="0" w:firstColumn="1" w:lastColumn="0" w:oddVBand="0" w:evenVBand="0" w:oddHBand="0" w:evenHBand="0" w:firstRowFirstColumn="0" w:firstRowLastColumn="0" w:lastRowFirstColumn="0" w:lastRowLastColumn="0"/>
            <w:tcW w:w="2448" w:type="dxa"/>
            <w:vAlign w:val="top"/>
          </w:tcPr>
          <w:p w:rsidR="001B29F9" w:rsidRPr="001C7F5D" w:rsidRDefault="001B29F9" w:rsidP="001C7F5D">
            <w:pPr>
              <w:pStyle w:val="ListParagraph"/>
              <w:numPr>
                <w:ilvl w:val="0"/>
                <w:numId w:val="97"/>
              </w:numPr>
              <w:spacing w:after="150"/>
              <w:jc w:val="both"/>
            </w:pPr>
            <w:r w:rsidRPr="001C7F5D">
              <w:lastRenderedPageBreak/>
              <w:t xml:space="preserve">A felszámolási eljárás során az adós korábbi és jelenlegi vezető tisztségviselői felelősségre vonhatóak, ha a fizetésképtelenséggel fenyegető helyzet bekövetkeztét követően ügyvezetési feladataikat nem a hitelezők érdekeinek figyelembevételével látták el,  és </w:t>
            </w:r>
            <w:proofErr w:type="gramStart"/>
            <w:r w:rsidRPr="001C7F5D">
              <w:t>ezáltal</w:t>
            </w:r>
            <w:proofErr w:type="gramEnd"/>
            <w:r w:rsidRPr="001C7F5D">
              <w:t xml:space="preserve"> az adós vagyona csökkent, vagy  a hitelezők követeléseinek teljes mértékben történő kielégítését meghiúsították.</w:t>
            </w:r>
          </w:p>
          <w:p w:rsidR="001B29F9" w:rsidRPr="001C7F5D" w:rsidRDefault="001B29F9" w:rsidP="001C7F5D">
            <w:pPr>
              <w:pStyle w:val="ListParagraph"/>
              <w:numPr>
                <w:ilvl w:val="0"/>
                <w:numId w:val="97"/>
              </w:numPr>
              <w:spacing w:after="150"/>
              <w:jc w:val="both"/>
            </w:pPr>
            <w:r w:rsidRPr="001C7F5D">
              <w:t xml:space="preserve">Az adós korábbi és jelenlegi tulajdonosai felelősségre vonhatóak a vagyoni hányaduk rosszhiszemű átruházása, korlátozott felelősségükkel való visszaélés vagy az adósra vonatkozó tartósan hátrányos </w:t>
            </w:r>
            <w:r w:rsidRPr="001C7F5D">
              <w:lastRenderedPageBreak/>
              <w:t>üzletpolitika megvalósítása miatt.</w:t>
            </w:r>
          </w:p>
        </w:tc>
        <w:tc>
          <w:tcPr>
            <w:tcW w:w="3060" w:type="dxa"/>
            <w:vAlign w:val="top"/>
          </w:tcPr>
          <w:p w:rsidR="001B29F9" w:rsidRPr="001A471B"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lastRenderedPageBreak/>
              <w:t>A vezető tisztségviselőkre és a tulajdonosokra vonatkozó rendelkezések nem működnek megfelelően a felszámoló vagy az eljárást kezdeményező hitelező információhiánya és a bizonyítás nehézségei miatt.</w:t>
            </w:r>
          </w:p>
          <w:p w:rsidR="001B29F9" w:rsidRPr="001A471B"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bíróság csak a legnyilvánvalóbb esetekben állapítja meg a felelősséget.</w:t>
            </w:r>
          </w:p>
          <w:p w:rsidR="001B29F9" w:rsidRPr="001A471B"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vagyoni hányad rosszhiszemű átruházására vonatkozó rendelkezések homályosak és nem megfelelően definiáltak.</w:t>
            </w:r>
          </w:p>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A bíróságoknak nincs kapacitásuk az olyan </w:t>
            </w:r>
            <w:proofErr w:type="gramStart"/>
            <w:r>
              <w:t>ügyek  alapos</w:t>
            </w:r>
            <w:proofErr w:type="gramEnd"/>
            <w:r>
              <w:t xml:space="preserve"> áttekintésére,  amelyekben  állítólagosan tartósan hátrányos üzletpolitika valósult meg.</w:t>
            </w:r>
          </w:p>
        </w:tc>
        <w:tc>
          <w:tcPr>
            <w:tcW w:w="2880" w:type="dxa"/>
            <w:vAlign w:val="top"/>
          </w:tcPr>
          <w:p w:rsidR="001B29F9" w:rsidRPr="001A471B"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Hatékonyabb szankciókat kellene foganatosítani az adós vezető tisztségviselői ellen, ha nem </w:t>
            </w:r>
            <w:proofErr w:type="gramStart"/>
            <w:r>
              <w:t>teljesítik</w:t>
            </w:r>
            <w:proofErr w:type="gramEnd"/>
            <w:r>
              <w:t xml:space="preserve"> a felszámolóval való együttműködési kötelezettségüket vagy nem szolgáltatnak dokumentumokat és információt az adós fizetésképtelenség előtti tevékenységéről.</w:t>
            </w:r>
          </w:p>
          <w:p w:rsidR="001B29F9" w:rsidRPr="001A471B"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A jogalkotónak világosabb feltételeket kell </w:t>
            </w:r>
            <w:proofErr w:type="gramStart"/>
            <w:r>
              <w:t>meghatároznia  vagyoni</w:t>
            </w:r>
            <w:proofErr w:type="gramEnd"/>
            <w:r>
              <w:t xml:space="preserve"> hányad rosszhiszemű átruházásának feltételei, valamint a tartósan hátrányos üzletpolitikához kapcsolódó felelősség kapcsán.</w:t>
            </w:r>
          </w:p>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Fizetésképtelenségi ügyekre specializálódott bírói csoportok vagy különálló bíróságok sokkal hatékonyabban tudnák kezelni a korábbi menedzsmenttel és tulajdonosokkal szembeni ügyeket.</w:t>
            </w:r>
          </w:p>
        </w:tc>
        <w:tc>
          <w:tcPr>
            <w:tcW w:w="1260"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72928" behindDoc="0" locked="0" layoutInCell="1" allowOverlap="1" wp14:anchorId="673442C7" wp14:editId="5AF2B39E">
                      <wp:simplePos x="0" y="0"/>
                      <wp:positionH relativeFrom="column">
                        <wp:posOffset>40640</wp:posOffset>
                      </wp:positionH>
                      <wp:positionV relativeFrom="paragraph">
                        <wp:posOffset>170180</wp:posOffset>
                      </wp:positionV>
                      <wp:extent cx="499745" cy="579755"/>
                      <wp:effectExtent l="76200" t="38100" r="52705" b="48895"/>
                      <wp:wrapNone/>
                      <wp:docPr id="45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79755"/>
                              </a:xfrm>
                              <a:prstGeom prst="upArrow">
                                <a:avLst>
                                  <a:gd name="adj1" fmla="val 50000"/>
                                  <a:gd name="adj2" fmla="val 29003"/>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68" style="position:absolute;margin-left:3.2pt;margin-top:13.4pt;width:39.35pt;height:45.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" fillcolor="#c00000" strokecolor="#c00000" strokeweight="3pt">
                      <v:shadow on="t" color="#4c4c4c [1606]" opacity=".5" offset="1pt"/>
                      <v:textbox style="layout-flow:vertical-ideographic"/>
                    </v:shape>
                  </w:pict>
                </mc:Fallback>
              </mc:AlternateContent>
            </w:r>
          </w:p>
        </w:tc>
      </w:tr>
      <w:tr w:rsidR="001B29F9" w:rsidTr="005B075A">
        <w:tc>
          <w:tcPr>
            <w:cnfStyle w:val="001000000000" w:firstRow="0" w:lastRow="0" w:firstColumn="1" w:lastColumn="0" w:oddVBand="0" w:evenVBand="0" w:oddHBand="0" w:evenHBand="0" w:firstRowFirstColumn="0" w:firstRowLastColumn="0" w:lastRowFirstColumn="0" w:lastRowLastColumn="0"/>
            <w:tcW w:w="2448" w:type="dxa"/>
            <w:vAlign w:val="top"/>
          </w:tcPr>
          <w:p w:rsidR="001B29F9" w:rsidRPr="001C7F5D" w:rsidRDefault="001B29F9" w:rsidP="001C7F5D">
            <w:pPr>
              <w:pStyle w:val="ListParagraph"/>
              <w:numPr>
                <w:ilvl w:val="0"/>
                <w:numId w:val="97"/>
              </w:numPr>
              <w:spacing w:after="150"/>
              <w:jc w:val="both"/>
            </w:pPr>
            <w:r w:rsidRPr="001C7F5D">
              <w:lastRenderedPageBreak/>
              <w:t xml:space="preserve">A csőd- és felszámolási eljárások során a hitelezők és minden sérelmet szenvedett fél élhet kifogással a bíróságnál a vagyonfelügyelő/felszámoló intézkedése vagy intézkedésének hiánya miatt 8 napon belül. </w:t>
            </w:r>
          </w:p>
          <w:p w:rsidR="001B29F9" w:rsidRPr="001C7F5D" w:rsidRDefault="001B29F9" w:rsidP="001C7F5D">
            <w:pPr>
              <w:pStyle w:val="ListParagraph"/>
              <w:numPr>
                <w:ilvl w:val="0"/>
                <w:numId w:val="97"/>
              </w:numPr>
              <w:spacing w:after="150"/>
              <w:jc w:val="both"/>
            </w:pPr>
            <w:r w:rsidRPr="001C7F5D">
              <w:t>Emellett a vagyonfelügyelő/felszámoló felelősségre vonható minden, a kötelezettsége megszegése esetén bekövetkezett kárért.</w:t>
            </w:r>
          </w:p>
        </w:tc>
        <w:tc>
          <w:tcPr>
            <w:tcW w:w="3060" w:type="dxa"/>
            <w:vAlign w:val="top"/>
          </w:tcPr>
          <w:p w:rsidR="001B29F9" w:rsidRPr="001A471B"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kifogásolási eljárás nem tűnik hatékony jogorvoslatnak a hitelezők számára, mivel a gyakorlatban a kifogás benyújtásának határideje relatíve rövid, a bíróságok ugyanakkor ritkán tartják be saját döntéshozatali határidejüket.</w:t>
            </w:r>
          </w:p>
          <w:p w:rsidR="001B29F9" w:rsidRPr="001A471B"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felszámolói kötelezettségek részletes szabályozásának hiánya miatt a hitelezők általában nem tudnak olyan konkrét törvényi rendelkezésre hivatkozni</w:t>
            </w:r>
            <w:proofErr w:type="gramStart"/>
            <w:r>
              <w:t>,  amelyet</w:t>
            </w:r>
            <w:proofErr w:type="gramEnd"/>
            <w:r>
              <w:t xml:space="preserve"> szerintük megszegett a felszámoló; ennek eredményeképpen a bíróságok a kifogásokat többnyire elutasítják.</w:t>
            </w:r>
          </w:p>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proofErr w:type="gramStart"/>
            <w:r>
              <w:t>A  vagyonfelügyelő</w:t>
            </w:r>
            <w:proofErr w:type="gramEnd"/>
            <w:r>
              <w:t>/felszámoló kártérítési felelősségének  megállapítására irányuló peres eljárás megindítása nem egy valódi alternatíva, mivel az a rendes bíróság előtt zajlik és hosszasan elhúzódik.</w:t>
            </w:r>
          </w:p>
        </w:tc>
        <w:tc>
          <w:tcPr>
            <w:tcW w:w="2880" w:type="dxa"/>
            <w:vAlign w:val="top"/>
          </w:tcPr>
          <w:p w:rsidR="001B29F9" w:rsidRPr="001A471B"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jogalkotónak sokkal jobban kellene részleteznie a felszámolók jogait és kötelezettségeit, a felszámolási eljárás különböző lépéseit és a vonatkozó törvényileg előírt határidőket.</w:t>
            </w:r>
          </w:p>
          <w:p w:rsidR="001B29F9" w:rsidRPr="00904EE2" w:rsidRDefault="004057CC" w:rsidP="009A73FD">
            <w:pPr>
              <w:pStyle w:val="ListParagraph"/>
              <w:numPr>
                <w:ilvl w:val="0"/>
                <w:numId w:val="68"/>
              </w:numPr>
              <w:spacing w:after="150"/>
              <w:ind w:left="362"/>
              <w:jc w:val="both"/>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40160" behindDoc="0" locked="0" layoutInCell="1" allowOverlap="1" wp14:anchorId="2BE1A0BF" wp14:editId="09E08BE4">
                      <wp:simplePos x="0" y="0"/>
                      <wp:positionH relativeFrom="column">
                        <wp:posOffset>1864360</wp:posOffset>
                      </wp:positionH>
                      <wp:positionV relativeFrom="paragraph">
                        <wp:posOffset>522605</wp:posOffset>
                      </wp:positionV>
                      <wp:extent cx="521970" cy="579120"/>
                      <wp:effectExtent l="76200" t="38100" r="49530" b="49530"/>
                      <wp:wrapNone/>
                      <wp:docPr id="45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579120"/>
                              </a:xfrm>
                              <a:prstGeom prst="upArrow">
                                <a:avLst>
                                  <a:gd name="adj1" fmla="val 50000"/>
                                  <a:gd name="adj2" fmla="val 27737"/>
                                </a:avLst>
                              </a:prstGeom>
                              <a:noFill/>
                              <a:ln w="38100" cmpd="sng">
                                <a:solidFill>
                                  <a:schemeClr val="tx1">
                                    <a:lumMod val="100000"/>
                                    <a:lumOff val="0"/>
                                  </a:schemeClr>
                                </a:solidFill>
                                <a:prstDash val="solid"/>
                                <a:miter lim="800000"/>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solidFill>
                                      <a:srgbClr val="C00000"/>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8" style="position:absolute;margin-left:146.8pt;margin-top:41.15pt;width:41.1pt;height:45.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" filled="f" fillcolor="#c00000" strokecolor="black [3213]" strokeweight="3pt">
                      <v:shadow on="t" color="#4c4c4c [1606]" opacity=".5" offset="1pt"/>
                      <v:textbox style="layout-flow:vertical-ideographic"/>
                    </v:shape>
                  </w:pict>
                </mc:Fallback>
              </mc:AlternateContent>
            </w:r>
            <w:r w:rsidR="001B29F9" w:rsidRPr="003263AA">
              <w:t>Fizetésképtelenségi ügyekre specializálódott bírói csoportok vagy különálló bíróságok sokkal hatékonyabban tudnák elbírálni a hitelezői kifogásokat</w:t>
            </w:r>
            <w:r w:rsidR="001B29F9" w:rsidRPr="00904EE2">
              <w:t>.</w:t>
            </w:r>
          </w:p>
        </w:tc>
        <w:tc>
          <w:tcPr>
            <w:tcW w:w="1260" w:type="dxa"/>
          </w:tcPr>
          <w:p w:rsidR="001B29F9" w:rsidRDefault="001B29F9" w:rsidP="005B075A">
            <w:pPr>
              <w:cnfStyle w:val="000000000000" w:firstRow="0" w:lastRow="0" w:firstColumn="0" w:lastColumn="0" w:oddVBand="0" w:evenVBand="0" w:oddHBand="0" w:evenHBand="0" w:firstRowFirstColumn="0" w:firstRowLastColumn="0" w:lastRowFirstColumn="0" w:lastRowLastColumn="0"/>
            </w:pPr>
          </w:p>
        </w:tc>
      </w:tr>
      <w:tr w:rsidR="001B29F9" w:rsidTr="005B075A">
        <w:tc>
          <w:tcPr>
            <w:cnfStyle w:val="001000000000" w:firstRow="0" w:lastRow="0" w:firstColumn="1" w:lastColumn="0" w:oddVBand="0" w:evenVBand="0" w:oddHBand="0" w:evenHBand="0" w:firstRowFirstColumn="0" w:firstRowLastColumn="0" w:lastRowFirstColumn="0" w:lastRowLastColumn="0"/>
            <w:tcW w:w="2448" w:type="dxa"/>
            <w:vAlign w:val="top"/>
          </w:tcPr>
          <w:p w:rsidR="001B29F9" w:rsidRPr="001C7F5D" w:rsidRDefault="001B29F9" w:rsidP="001C7F5D">
            <w:pPr>
              <w:pStyle w:val="ListParagraph"/>
              <w:numPr>
                <w:ilvl w:val="0"/>
                <w:numId w:val="97"/>
              </w:numPr>
              <w:spacing w:after="150"/>
              <w:jc w:val="both"/>
            </w:pPr>
            <w:r w:rsidRPr="001C7F5D">
              <w:t xml:space="preserve">A felszámolás kezdeményezésének leggyakoribb oka az, hogy az adós szerződésen alapuló nem vitatott vagy elismert tartozását a teljesítési határidő lejártát követő 20 napon belül sem egyenlítette ki vagy nem vitatta, és az azt követő hitelezői </w:t>
            </w:r>
            <w:r w:rsidRPr="001C7F5D">
              <w:lastRenderedPageBreak/>
              <w:t>írásbeli felszólításra sem teljesítette.</w:t>
            </w:r>
          </w:p>
          <w:p w:rsidR="001B29F9" w:rsidRPr="001C7F5D" w:rsidRDefault="001B29F9" w:rsidP="001C7F5D">
            <w:pPr>
              <w:pStyle w:val="ListParagraph"/>
              <w:numPr>
                <w:ilvl w:val="0"/>
                <w:numId w:val="97"/>
              </w:numPr>
              <w:spacing w:after="150"/>
              <w:jc w:val="both"/>
            </w:pPr>
            <w:r w:rsidRPr="001C7F5D">
              <w:t>Az adós elkerülheti a felszámolást, ha igazolja a bíróság felé, hogy a szóban forgó követelést megfelelő időben vitatta.</w:t>
            </w:r>
          </w:p>
        </w:tc>
        <w:tc>
          <w:tcPr>
            <w:tcW w:w="3060" w:type="dxa"/>
            <w:vAlign w:val="top"/>
          </w:tcPr>
          <w:p w:rsidR="001B29F9" w:rsidRPr="001A471B"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lastRenderedPageBreak/>
              <w:t>A bíróság nem alkalmaz „valódi” fizetésképtelenségi tesztet a felszámolási elrendelését megelőző vizsgálat során, csak formálisan vizsgálja a beadványt.</w:t>
            </w:r>
          </w:p>
          <w:p w:rsidR="001B29F9" w:rsidRPr="001A471B"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Túl könnyűnek tűnik az adósok számára a felszámolás elkerülése a hitelezők követeléseinek előre történő vitatása által.</w:t>
            </w:r>
          </w:p>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felszámolási bíróságok nem vizsgálják, hogy a vitatásnak van-e jogalapja; ez a rendes bíróságok vizsgálatának tárgya a peres eljárás során.</w:t>
            </w:r>
          </w:p>
        </w:tc>
        <w:tc>
          <w:tcPr>
            <w:tcW w:w="2880" w:type="dxa"/>
            <w:vAlign w:val="top"/>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Fizetésképtelenségi ügyekre specializálódott bírói csoportokat vagy különálló bíróságot kellene felállítani, lehetővé téve a bíróknak, hogy megfelelően meg tudják ítélni</w:t>
            </w:r>
            <w:proofErr w:type="gramStart"/>
            <w:r>
              <w:t>,  hogy</w:t>
            </w:r>
            <w:proofErr w:type="gramEnd"/>
            <w:r>
              <w:t xml:space="preserve"> az adós vitató nyilatkozatának volt-e jogalapja.</w:t>
            </w:r>
          </w:p>
        </w:tc>
        <w:tc>
          <w:tcPr>
            <w:tcW w:w="1260"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41184" behindDoc="0" locked="0" layoutInCell="1" allowOverlap="1" wp14:anchorId="06636EC4" wp14:editId="2F9D0CE0">
                      <wp:simplePos x="0" y="0"/>
                      <wp:positionH relativeFrom="column">
                        <wp:posOffset>37465</wp:posOffset>
                      </wp:positionH>
                      <wp:positionV relativeFrom="paragraph">
                        <wp:posOffset>-163830</wp:posOffset>
                      </wp:positionV>
                      <wp:extent cx="521970" cy="579120"/>
                      <wp:effectExtent l="76200" t="38100" r="49530" b="49530"/>
                      <wp:wrapNone/>
                      <wp:docPr id="45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579120"/>
                              </a:xfrm>
                              <a:prstGeom prst="upArrow">
                                <a:avLst>
                                  <a:gd name="adj1" fmla="val 50000"/>
                                  <a:gd name="adj2" fmla="val 27737"/>
                                </a:avLst>
                              </a:prstGeom>
                              <a:noFill/>
                              <a:ln w="38100" cmpd="sng">
                                <a:solidFill>
                                  <a:schemeClr val="tx1">
                                    <a:lumMod val="100000"/>
                                    <a:lumOff val="0"/>
                                  </a:schemeClr>
                                </a:solidFill>
                                <a:prstDash val="solid"/>
                                <a:miter lim="800000"/>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solidFill>
                                      <a:srgbClr val="C00000"/>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8" style="position:absolute;margin-left:2.95pt;margin-top:-12.9pt;width:41.1pt;height:45.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" filled="f" fillcolor="#c00000" strokecolor="black [3213]" strokeweight="3pt">
                      <v:shadow on="t" color="#4c4c4c [1606]" opacity=".5" offset="1pt"/>
                      <v:textbox style="layout-flow:vertical-ideographic"/>
                    </v:shape>
                  </w:pict>
                </mc:Fallback>
              </mc:AlternateContent>
            </w:r>
          </w:p>
        </w:tc>
      </w:tr>
      <w:tr w:rsidR="001B29F9" w:rsidTr="005B075A">
        <w:tc>
          <w:tcPr>
            <w:cnfStyle w:val="001000000000" w:firstRow="0" w:lastRow="0" w:firstColumn="1" w:lastColumn="0" w:oddVBand="0" w:evenVBand="0" w:oddHBand="0" w:evenHBand="0" w:firstRowFirstColumn="0" w:firstRowLastColumn="0" w:lastRowFirstColumn="0" w:lastRowLastColumn="0"/>
            <w:tcW w:w="2448" w:type="dxa"/>
            <w:vAlign w:val="top"/>
          </w:tcPr>
          <w:p w:rsidR="001B29F9" w:rsidRPr="001C7F5D" w:rsidRDefault="001B29F9" w:rsidP="001C7F5D">
            <w:pPr>
              <w:pStyle w:val="ListParagraph"/>
              <w:numPr>
                <w:ilvl w:val="0"/>
                <w:numId w:val="97"/>
              </w:numPr>
              <w:spacing w:after="150"/>
              <w:jc w:val="both"/>
            </w:pPr>
            <w:r w:rsidRPr="001C7F5D">
              <w:lastRenderedPageBreak/>
              <w:t xml:space="preserve">A bírósági végrehajtási eljárás során a hitelezők végrehajtási kifogásairól bírósági titkárok döntenek </w:t>
            </w:r>
            <w:proofErr w:type="spellStart"/>
            <w:r w:rsidRPr="001C7F5D">
              <w:t>elsőfokon</w:t>
            </w:r>
            <w:proofErr w:type="spellEnd"/>
            <w:r w:rsidRPr="001C7F5D">
              <w:t>.</w:t>
            </w:r>
          </w:p>
        </w:tc>
        <w:tc>
          <w:tcPr>
            <w:tcW w:w="3060" w:type="dxa"/>
            <w:vAlign w:val="top"/>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bírósági titkárok gyakori fluktuációja akadályozza az egységes gyakorlat kialakítását, aláásva a jogbiztonságot és a kiszámíthatóságot.</w:t>
            </w:r>
          </w:p>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bírósági titkárok nem részesülnek semmilyen, a végrehajtási eljárással és gazdasági kérdésekkel kapcsolatos speciális képzésben.</w:t>
            </w:r>
          </w:p>
        </w:tc>
        <w:tc>
          <w:tcPr>
            <w:tcW w:w="2880" w:type="dxa"/>
            <w:vAlign w:val="top"/>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A bírósági titkárok rotációs rendszerét meg kellene reformálni; a bírósági titkároknak képzést kellene nyújtani a végrehajtási </w:t>
            </w:r>
            <w:proofErr w:type="gramStart"/>
            <w:r>
              <w:t>kifogásokról</w:t>
            </w:r>
            <w:proofErr w:type="gramEnd"/>
            <w:r>
              <w:t>, világos irányelvekkel a végrehajtási kifogások fő aspektusairól és a kapcsolódó gazdasági kérdésekről.</w:t>
            </w:r>
          </w:p>
        </w:tc>
        <w:tc>
          <w:tcPr>
            <w:tcW w:w="1260" w:type="dxa"/>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42208" behindDoc="0" locked="0" layoutInCell="1" allowOverlap="1" wp14:anchorId="3703C5A4" wp14:editId="26C1FD5F">
                      <wp:simplePos x="0" y="0"/>
                      <wp:positionH relativeFrom="column">
                        <wp:posOffset>65405</wp:posOffset>
                      </wp:positionH>
                      <wp:positionV relativeFrom="paragraph">
                        <wp:posOffset>-178435</wp:posOffset>
                      </wp:positionV>
                      <wp:extent cx="521970" cy="579120"/>
                      <wp:effectExtent l="76200" t="38100" r="49530" b="49530"/>
                      <wp:wrapNone/>
                      <wp:docPr id="45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579120"/>
                              </a:xfrm>
                              <a:prstGeom prst="upArrow">
                                <a:avLst>
                                  <a:gd name="adj1" fmla="val 50000"/>
                                  <a:gd name="adj2" fmla="val 27737"/>
                                </a:avLst>
                              </a:prstGeom>
                              <a:noFill/>
                              <a:ln w="38100" cmpd="sng">
                                <a:solidFill>
                                  <a:schemeClr val="tx1">
                                    <a:lumMod val="100000"/>
                                    <a:lumOff val="0"/>
                                  </a:schemeClr>
                                </a:solidFill>
                                <a:prstDash val="solid"/>
                                <a:miter lim="800000"/>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solidFill>
                                      <a:srgbClr val="C00000"/>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8" style="position:absolute;margin-left:5.15pt;margin-top:-14.05pt;width:41.1pt;height:45.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" filled="f" fillcolor="#c00000" strokecolor="black [3213]" strokeweight="3pt">
                      <v:shadow on="t" color="#4c4c4c [1606]" opacity=".5" offset="1pt"/>
                      <v:textbox style="layout-flow:vertical-ideographic"/>
                    </v:shape>
                  </w:pict>
                </mc:Fallback>
              </mc:AlternateContent>
            </w:r>
          </w:p>
        </w:tc>
      </w:tr>
    </w:tbl>
    <w:p w:rsidR="001B29F9" w:rsidRDefault="001B29F9" w:rsidP="001B29F9"/>
    <w:p w:rsidR="001B29F9" w:rsidRDefault="001B29F9" w:rsidP="001B29F9">
      <w:pPr>
        <w:spacing w:line="240" w:lineRule="auto"/>
        <w:rPr>
          <w:b/>
        </w:rPr>
      </w:pPr>
      <w:r w:rsidRPr="001A471B">
        <w:rPr>
          <w:b/>
        </w:rPr>
        <w:t xml:space="preserve">8. </w:t>
      </w:r>
      <w:r>
        <w:rPr>
          <w:b/>
        </w:rPr>
        <w:t>Egyéb</w:t>
      </w:r>
      <w:r w:rsidRPr="001A471B">
        <w:rPr>
          <w:b/>
        </w:rPr>
        <w:t xml:space="preserve"> jogi</w:t>
      </w:r>
      <w:r>
        <w:rPr>
          <w:b/>
        </w:rPr>
        <w:t xml:space="preserve"> vonatkozású</w:t>
      </w:r>
      <w:r w:rsidRPr="001A471B">
        <w:rPr>
          <w:b/>
        </w:rPr>
        <w:t xml:space="preserve"> megfontolások</w:t>
      </w:r>
    </w:p>
    <w:p w:rsidR="001B29F9" w:rsidRPr="001A471B" w:rsidRDefault="001B29F9" w:rsidP="001B29F9">
      <w:pPr>
        <w:spacing w:line="240" w:lineRule="auto"/>
      </w:pPr>
    </w:p>
    <w:tbl>
      <w:tblPr>
        <w:tblStyle w:val="tblzat-fejlces"/>
        <w:tblW w:w="0" w:type="auto"/>
        <w:tblLayout w:type="fixed"/>
        <w:tblLook w:val="04A0" w:firstRow="1" w:lastRow="0" w:firstColumn="1" w:lastColumn="0" w:noHBand="0" w:noVBand="1"/>
      </w:tblPr>
      <w:tblGrid>
        <w:gridCol w:w="2448"/>
        <w:gridCol w:w="3060"/>
        <w:gridCol w:w="2880"/>
        <w:gridCol w:w="1260"/>
      </w:tblGrid>
      <w:tr w:rsidR="001B29F9" w:rsidTr="005B07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tcPr>
          <w:p w:rsidR="001B29F9" w:rsidRDefault="001B29F9" w:rsidP="005B075A">
            <w:r>
              <w:t>Szabályozási háttér</w:t>
            </w:r>
          </w:p>
        </w:tc>
        <w:tc>
          <w:tcPr>
            <w:tcW w:w="3060" w:type="dxa"/>
          </w:tcPr>
          <w:p w:rsidR="001B29F9" w:rsidRDefault="001B29F9" w:rsidP="005B075A">
            <w:pPr>
              <w:cnfStyle w:val="100000000000" w:firstRow="1" w:lastRow="0" w:firstColumn="0" w:lastColumn="0" w:oddVBand="0" w:evenVBand="0" w:oddHBand="0" w:evenHBand="0" w:firstRowFirstColumn="0" w:firstRowLastColumn="0" w:lastRowFirstColumn="0" w:lastRowLastColumn="0"/>
            </w:pPr>
            <w:r>
              <w:t>Azonosított gyakorlati probléma</w:t>
            </w:r>
          </w:p>
        </w:tc>
        <w:tc>
          <w:tcPr>
            <w:tcW w:w="2880" w:type="dxa"/>
          </w:tcPr>
          <w:p w:rsidR="001B29F9" w:rsidRDefault="001B29F9" w:rsidP="005B075A">
            <w:pPr>
              <w:cnfStyle w:val="100000000000" w:firstRow="1" w:lastRow="0" w:firstColumn="0" w:lastColumn="0" w:oddVBand="0" w:evenVBand="0" w:oddHBand="0" w:evenHBand="0" w:firstRowFirstColumn="0" w:firstRowLastColumn="0" w:lastRowFirstColumn="0" w:lastRowLastColumn="0"/>
            </w:pPr>
            <w:r>
              <w:t>Potenciális megoldási lehetőség</w:t>
            </w:r>
          </w:p>
        </w:tc>
        <w:tc>
          <w:tcPr>
            <w:tcW w:w="1260" w:type="dxa"/>
          </w:tcPr>
          <w:p w:rsidR="001B29F9" w:rsidRDefault="001B29F9" w:rsidP="005B075A">
            <w:pPr>
              <w:cnfStyle w:val="100000000000" w:firstRow="1" w:lastRow="0" w:firstColumn="0" w:lastColumn="0" w:oddVBand="0" w:evenVBand="0" w:oddHBand="0" w:evenHBand="0" w:firstRowFirstColumn="0" w:firstRowLastColumn="0" w:lastRowFirstColumn="0" w:lastRowLastColumn="0"/>
            </w:pPr>
            <w:r>
              <w:t>Prioritás</w:t>
            </w:r>
          </w:p>
        </w:tc>
      </w:tr>
      <w:tr w:rsidR="001B29F9" w:rsidTr="005B075A">
        <w:tc>
          <w:tcPr>
            <w:cnfStyle w:val="001000000000" w:firstRow="0" w:lastRow="0" w:firstColumn="1" w:lastColumn="0" w:oddVBand="0" w:evenVBand="0" w:oddHBand="0" w:evenHBand="0" w:firstRowFirstColumn="0" w:firstRowLastColumn="0" w:lastRowFirstColumn="0" w:lastRowLastColumn="0"/>
            <w:tcW w:w="2448" w:type="dxa"/>
            <w:vAlign w:val="top"/>
          </w:tcPr>
          <w:p w:rsidR="001B29F9" w:rsidRPr="001C7F5D" w:rsidRDefault="001B29F9" w:rsidP="001C7F5D">
            <w:pPr>
              <w:pStyle w:val="ListParagraph"/>
              <w:numPr>
                <w:ilvl w:val="0"/>
                <w:numId w:val="104"/>
              </w:numPr>
              <w:spacing w:after="150"/>
              <w:jc w:val="both"/>
            </w:pPr>
            <w:r w:rsidRPr="001C7F5D">
              <w:t xml:space="preserve">Az Új Polgári Törvénykönyvben a kölcsönt nyújtók jogai az </w:t>
            </w:r>
            <w:proofErr w:type="gramStart"/>
            <w:r w:rsidRPr="001C7F5D">
              <w:t>óvadék érvényesítési</w:t>
            </w:r>
            <w:proofErr w:type="gramEnd"/>
            <w:r w:rsidRPr="001C7F5D">
              <w:t xml:space="preserve"> módszerekre nézve (pl. a hitelező általi nem nyilvános értékesítés útján) nem világos csőd és felszámolás esetén.</w:t>
            </w:r>
          </w:p>
          <w:p w:rsidR="001B29F9" w:rsidRPr="001C7F5D" w:rsidRDefault="001B29F9" w:rsidP="001C7F5D">
            <w:pPr>
              <w:pStyle w:val="ListParagraph"/>
              <w:numPr>
                <w:ilvl w:val="0"/>
                <w:numId w:val="104"/>
              </w:numPr>
              <w:spacing w:after="150"/>
              <w:jc w:val="both"/>
            </w:pPr>
            <w:r w:rsidRPr="001C7F5D">
              <w:t xml:space="preserve">Az új hitelbiztosítéki nyilvántartás nem közhiteles és nincs lehetőség hivatalos tanúsítványt beszerezni annak </w:t>
            </w:r>
            <w:r w:rsidRPr="001C7F5D">
              <w:lastRenderedPageBreak/>
              <w:t>tartalmáról.</w:t>
            </w:r>
          </w:p>
          <w:p w:rsidR="001B29F9" w:rsidRPr="001C7F5D" w:rsidRDefault="001B29F9" w:rsidP="001C7F5D">
            <w:pPr>
              <w:pStyle w:val="ListParagraph"/>
              <w:numPr>
                <w:ilvl w:val="0"/>
                <w:numId w:val="104"/>
              </w:numPr>
              <w:spacing w:after="150"/>
              <w:jc w:val="both"/>
            </w:pPr>
            <w:r w:rsidRPr="001C7F5D">
              <w:t>Az új hitelbiztosítéki nyilvántartásban regisztrált biztosítékot a zálogkötelezett szinte automatikusan törölheti.</w:t>
            </w:r>
          </w:p>
          <w:p w:rsidR="001B29F9" w:rsidRPr="001C7F5D" w:rsidRDefault="001B29F9" w:rsidP="001C7F5D">
            <w:pPr>
              <w:pStyle w:val="ListParagraph"/>
              <w:numPr>
                <w:ilvl w:val="0"/>
                <w:numId w:val="104"/>
              </w:numPr>
              <w:spacing w:after="150"/>
              <w:jc w:val="both"/>
            </w:pPr>
            <w:r w:rsidRPr="001C7F5D">
              <w:t xml:space="preserve">Az Új Polgári Törvénykönyv különböző részei ellentmondanak egymásnak a biztosítékok fennmaradása kapcsán </w:t>
            </w:r>
            <w:proofErr w:type="spellStart"/>
            <w:r w:rsidRPr="001C7F5D">
              <w:t>szerződésátruházás</w:t>
            </w:r>
            <w:proofErr w:type="spellEnd"/>
            <w:r w:rsidRPr="001C7F5D">
              <w:t xml:space="preserve"> esetén.</w:t>
            </w:r>
          </w:p>
        </w:tc>
        <w:tc>
          <w:tcPr>
            <w:tcW w:w="3060" w:type="dxa"/>
            <w:vAlign w:val="top"/>
          </w:tcPr>
          <w:p w:rsidR="001B29F9" w:rsidRPr="006F386D"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lastRenderedPageBreak/>
              <w:t>Az Új Polgári Törvénykönyv számos olyan rendelkezést tartalmaz</w:t>
            </w:r>
            <w:proofErr w:type="gramStart"/>
            <w:r>
              <w:t>,</w:t>
            </w:r>
            <w:proofErr w:type="gramEnd"/>
            <w:r>
              <w:t xml:space="preserve"> amelyek ellentmondásosak és a hitelezőknek bizonytalanságot okoznak.</w:t>
            </w:r>
          </w:p>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A fenti ellentmondások nem motiválják a hitelezőket új finanszírozási megállapodások megkötésére (az Új Polgári Törvénykönyv alapján), vagy a (Régi Polgári Törvénykönyv alapján) fennállóak refinanszírozására. Ez akadályozza a </w:t>
            </w:r>
            <w:proofErr w:type="spellStart"/>
            <w:r>
              <w:t>restrukturálást</w:t>
            </w:r>
            <w:proofErr w:type="spellEnd"/>
            <w:r>
              <w:t>.</w:t>
            </w:r>
          </w:p>
        </w:tc>
        <w:tc>
          <w:tcPr>
            <w:tcW w:w="2880" w:type="dxa"/>
            <w:vAlign w:val="top"/>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Az Új Polgári Törvénykönyvet módosítani kellene az érintettek visszajelzései alapján a kétértelműségek kizárása végett.</w:t>
            </w:r>
          </w:p>
        </w:tc>
        <w:tc>
          <w:tcPr>
            <w:tcW w:w="1260" w:type="dxa"/>
            <w:vAlign w:val="top"/>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32992" behindDoc="0" locked="0" layoutInCell="1" allowOverlap="1" wp14:anchorId="7B21E25A" wp14:editId="5DF5836A">
                      <wp:simplePos x="0" y="0"/>
                      <wp:positionH relativeFrom="column">
                        <wp:posOffset>133985</wp:posOffset>
                      </wp:positionH>
                      <wp:positionV relativeFrom="paragraph">
                        <wp:posOffset>1710690</wp:posOffset>
                      </wp:positionV>
                      <wp:extent cx="318135" cy="382270"/>
                      <wp:effectExtent l="76200" t="38100" r="62865" b="55880"/>
                      <wp:wrapNone/>
                      <wp:docPr id="45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135" cy="382270"/>
                              </a:xfrm>
                              <a:prstGeom prst="upArrow">
                                <a:avLst>
                                  <a:gd name="adj1" fmla="val 50000"/>
                                  <a:gd name="adj2" fmla="val 30040"/>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68" style="position:absolute;margin-left:10.55pt;margin-top:134.7pt;width:25.05pt;height:30.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" fillcolor="#c00000" strokecolor="#c00000" strokeweight="3pt">
                      <v:shadow on="t" color="#4c4c4c [1606]" opacity=".5" offset="1pt"/>
                      <v:textbox style="layout-flow:vertical-ideographic"/>
                    </v:shape>
                  </w:pict>
                </mc:Fallback>
              </mc:AlternateContent>
            </w:r>
          </w:p>
        </w:tc>
      </w:tr>
      <w:tr w:rsidR="001B29F9" w:rsidTr="005B075A">
        <w:tc>
          <w:tcPr>
            <w:cnfStyle w:val="001000000000" w:firstRow="0" w:lastRow="0" w:firstColumn="1" w:lastColumn="0" w:oddVBand="0" w:evenVBand="0" w:oddHBand="0" w:evenHBand="0" w:firstRowFirstColumn="0" w:firstRowLastColumn="0" w:lastRowFirstColumn="0" w:lastRowLastColumn="0"/>
            <w:tcW w:w="2448" w:type="dxa"/>
            <w:vAlign w:val="top"/>
          </w:tcPr>
          <w:p w:rsidR="001B29F9" w:rsidRPr="001C7F5D" w:rsidRDefault="001B29F9" w:rsidP="001C7F5D">
            <w:pPr>
              <w:pStyle w:val="ListParagraph"/>
              <w:numPr>
                <w:ilvl w:val="0"/>
                <w:numId w:val="104"/>
              </w:numPr>
              <w:spacing w:after="150"/>
              <w:jc w:val="both"/>
            </w:pPr>
            <w:r w:rsidRPr="001C7F5D">
              <w:lastRenderedPageBreak/>
              <w:t>A csődeljárások során a vagyonfelügyelő alapdíját az adós eszközeinek könyv szerinti értéke alapján kell kiszámolni.</w:t>
            </w:r>
          </w:p>
          <w:p w:rsidR="001B29F9" w:rsidRPr="001C7F5D" w:rsidRDefault="001B29F9" w:rsidP="001C7F5D">
            <w:pPr>
              <w:pStyle w:val="ListParagraph"/>
              <w:numPr>
                <w:ilvl w:val="0"/>
                <w:numId w:val="104"/>
              </w:numPr>
              <w:spacing w:after="150"/>
              <w:jc w:val="both"/>
            </w:pPr>
            <w:r w:rsidRPr="001C7F5D">
              <w:t xml:space="preserve">A vagyonfelügyelők az alapdíjat a teljesítményüktől függetlenül kapják. </w:t>
            </w:r>
          </w:p>
          <w:p w:rsidR="001B29F9" w:rsidRPr="001C7F5D" w:rsidRDefault="001B29F9" w:rsidP="001C7F5D">
            <w:pPr>
              <w:pStyle w:val="ListParagraph"/>
              <w:numPr>
                <w:ilvl w:val="0"/>
                <w:numId w:val="104"/>
              </w:numPr>
              <w:spacing w:after="150"/>
              <w:jc w:val="both"/>
            </w:pPr>
            <w:r w:rsidRPr="001C7F5D">
              <w:t>Sikeres csődegyezség esetén a vagyonfelügyelő további sikerdíjra jogosult.</w:t>
            </w:r>
          </w:p>
        </w:tc>
        <w:tc>
          <w:tcPr>
            <w:tcW w:w="3060" w:type="dxa"/>
            <w:vAlign w:val="top"/>
          </w:tcPr>
          <w:p w:rsidR="001B29F9" w:rsidRPr="006F386D"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Ha az adósnak egyetlen eszköze van szignifikáns könyv szerinti értékkel (pl. projekttársaság értékes ingatlantulajdonnal), a vagyonfelügyelő díja ésszerűtlenül magas lehet.</w:t>
            </w:r>
          </w:p>
          <w:p w:rsidR="001B29F9" w:rsidRPr="006F386D"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A bíróságok általában nem gyakorolják azt a jogukat, hogy korrigálhatják a vagyonfelügyelő díját az eset körülményeire tekintettel. </w:t>
            </w:r>
          </w:p>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A vagyonfelügyelőknek nincs elég motivációjuk vagy felhatalmazásuk aktívabb szerepet játszani a folyamatban. </w:t>
            </w:r>
          </w:p>
        </w:tc>
        <w:tc>
          <w:tcPr>
            <w:tcW w:w="2880" w:type="dxa"/>
            <w:vAlign w:val="top"/>
          </w:tcPr>
          <w:p w:rsidR="001B29F9" w:rsidRPr="006F386D"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vagyonfelügyelők díjazási rendszerét (alapdíj és sikerdíj) felül kellene vizsgálni az elérhető legjobb gyakorlati minták szerint, és abból a célból, hogy biztosítsa a megfelelő teljesítményösztönzőket.</w:t>
            </w:r>
          </w:p>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Fizetésképtelenségi ügyekre specializálódott bírói csoportokat vagy különálló bíróságot kellene felállítani, lehetővé téve az érintett bíróknak, hogy meg tudják vizsgálni a vagyonfelügyelői díj méltányosságát, és ha kell, korrigálják azt. </w:t>
            </w:r>
          </w:p>
        </w:tc>
        <w:tc>
          <w:tcPr>
            <w:tcW w:w="1260" w:type="dxa"/>
            <w:vAlign w:val="top"/>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38112" behindDoc="0" locked="0" layoutInCell="1" allowOverlap="1" wp14:anchorId="2EBF68ED" wp14:editId="002929C3">
                      <wp:simplePos x="0" y="0"/>
                      <wp:positionH relativeFrom="column">
                        <wp:posOffset>81280</wp:posOffset>
                      </wp:positionH>
                      <wp:positionV relativeFrom="paragraph">
                        <wp:posOffset>1193165</wp:posOffset>
                      </wp:positionV>
                      <wp:extent cx="499745" cy="579755"/>
                      <wp:effectExtent l="76200" t="38100" r="52705" b="48895"/>
                      <wp:wrapNone/>
                      <wp:docPr id="45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79755"/>
                              </a:xfrm>
                              <a:prstGeom prst="upArrow">
                                <a:avLst>
                                  <a:gd name="adj1" fmla="val 50000"/>
                                  <a:gd name="adj2" fmla="val 29003"/>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68" style="position:absolute;margin-left:6.4pt;margin-top:93.95pt;width:39.35pt;height:45.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" fillcolor="#c00000" strokecolor="#c00000" strokeweight="3pt">
                      <v:shadow on="t" color="#4c4c4c [1606]" opacity=".5" offset="1pt"/>
                      <v:textbox style="layout-flow:vertical-ideographic"/>
                    </v:shape>
                  </w:pict>
                </mc:Fallback>
              </mc:AlternateContent>
            </w:r>
          </w:p>
        </w:tc>
      </w:tr>
      <w:tr w:rsidR="001B29F9" w:rsidTr="005B075A">
        <w:tc>
          <w:tcPr>
            <w:cnfStyle w:val="001000000000" w:firstRow="0" w:lastRow="0" w:firstColumn="1" w:lastColumn="0" w:oddVBand="0" w:evenVBand="0" w:oddHBand="0" w:evenHBand="0" w:firstRowFirstColumn="0" w:firstRowLastColumn="0" w:lastRowFirstColumn="0" w:lastRowLastColumn="0"/>
            <w:tcW w:w="2448" w:type="dxa"/>
            <w:vAlign w:val="top"/>
          </w:tcPr>
          <w:p w:rsidR="001B29F9" w:rsidRPr="001C7F5D" w:rsidRDefault="001B29F9" w:rsidP="001C7F5D">
            <w:pPr>
              <w:pStyle w:val="ListParagraph"/>
              <w:numPr>
                <w:ilvl w:val="0"/>
                <w:numId w:val="104"/>
              </w:numPr>
              <w:spacing w:after="150"/>
              <w:jc w:val="both"/>
            </w:pPr>
            <w:r w:rsidRPr="001C7F5D">
              <w:t>A felszámolási eljárás során a felszámoló díja a felszámolás során eladott vagyontárgyak bevétele és a befolyt  követelések pénzbevétele együttes összegének  5%-</w:t>
            </w:r>
            <w:proofErr w:type="gramStart"/>
            <w:r w:rsidRPr="001C7F5D">
              <w:t>a</w:t>
            </w:r>
            <w:proofErr w:type="gramEnd"/>
            <w:r w:rsidRPr="001C7F5D">
              <w:t xml:space="preserve">, de minimum </w:t>
            </w:r>
            <w:r w:rsidRPr="001C7F5D">
              <w:lastRenderedPageBreak/>
              <w:t>300 ezer forint (kb. 1000 euró).</w:t>
            </w:r>
          </w:p>
          <w:p w:rsidR="001B29F9" w:rsidRPr="001C7F5D" w:rsidRDefault="001B29F9" w:rsidP="001C7F5D">
            <w:pPr>
              <w:pStyle w:val="ListParagraph"/>
              <w:numPr>
                <w:ilvl w:val="0"/>
                <w:numId w:val="104"/>
              </w:numPr>
              <w:spacing w:after="150"/>
              <w:jc w:val="both"/>
            </w:pPr>
            <w:r w:rsidRPr="001C7F5D">
              <w:t>Ha a felszámoló úgy dönt, hogy folytatja a felszámolás alatt is az adós gazdasági tevékenységét, az ebből a tevékenységből származó bevétel további 2%-áraválik jogosulttá.</w:t>
            </w:r>
          </w:p>
          <w:p w:rsidR="001B29F9" w:rsidRPr="001C7F5D" w:rsidRDefault="001B29F9" w:rsidP="001C7F5D">
            <w:pPr>
              <w:pStyle w:val="ListParagraph"/>
              <w:numPr>
                <w:ilvl w:val="0"/>
                <w:numId w:val="104"/>
              </w:numPr>
              <w:spacing w:after="150"/>
              <w:jc w:val="both"/>
            </w:pPr>
            <w:r w:rsidRPr="001C7F5D">
              <w:t>A felszámolási költségeket az esedékesség napján kell kielégíteni, és beletartoznak egyebek mellett a munkabérek, az eszközök megőrzésének és értékesítésének költségei és az eljárási költségek.</w:t>
            </w:r>
          </w:p>
        </w:tc>
        <w:tc>
          <w:tcPr>
            <w:tcW w:w="3060" w:type="dxa"/>
            <w:vAlign w:val="top"/>
          </w:tcPr>
          <w:p w:rsidR="001B29F9" w:rsidRPr="006F386D"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lastRenderedPageBreak/>
              <w:t>A felszámoló díjazásának jogi szabályozását minden érdekelt kritizálta, beleértve a Felszámolók és Vagyonfelügyelők Országos Egyesületét.</w:t>
            </w:r>
          </w:p>
          <w:p w:rsidR="001B29F9" w:rsidRPr="006F386D"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A hitelezők szerint a díjak nagyon magasak összehasonlítva az elvégzett munkával, és a felszámolók nem megfelelő tételeket is elszámolnak </w:t>
            </w:r>
            <w:r>
              <w:lastRenderedPageBreak/>
              <w:t>felszámolási költségként azok törvényi kielégítési elsőbbsége okán, ami ellen a hitelezők részére gyakorlatilag nincs hatékony kifogásolási lehetőség.</w:t>
            </w:r>
          </w:p>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Felszámolók és Vagyonfelügyelők Országos Egyesületének véleménye szerint ellentmondásos a fennálló díjazási rendszer.</w:t>
            </w:r>
          </w:p>
        </w:tc>
        <w:tc>
          <w:tcPr>
            <w:tcW w:w="2880" w:type="dxa"/>
            <w:vAlign w:val="top"/>
          </w:tcPr>
          <w:p w:rsidR="001B29F9" w:rsidRPr="006F386D"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lastRenderedPageBreak/>
              <w:t>A felszámolók díjazási szerkezetének további felülvizsgálata lenne szükséges az elérhető legjobb gyakorlati minták és a hitelezők jogainak védelme szempontjából.</w:t>
            </w:r>
          </w:p>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További szabályok bevezetése lenne szükséges annak érdekében, hogy a felszámolási költségek </w:t>
            </w:r>
            <w:r>
              <w:lastRenderedPageBreak/>
              <w:t>elszámolását a bíróságok és a hitelezők megfelelően meg tudják vizsgálni (a jelenlegi kifogás jogintézményén túl).</w:t>
            </w:r>
            <w:r>
              <w:rPr>
                <w:noProof/>
              </w:rPr>
              <w:t xml:space="preserve"> </w:t>
            </w:r>
          </w:p>
        </w:tc>
        <w:tc>
          <w:tcPr>
            <w:tcW w:w="1260" w:type="dxa"/>
            <w:vAlign w:val="top"/>
          </w:tcPr>
          <w:p w:rsidR="001B29F9" w:rsidRDefault="004057CC" w:rsidP="005B075A">
            <w:pPr>
              <w:cnfStyle w:val="000000000000" w:firstRow="0" w:lastRow="0" w:firstColumn="0" w:lastColumn="0" w:oddVBand="0" w:evenVBand="0" w:oddHBand="0" w:evenHBand="0" w:firstRowFirstColumn="0" w:firstRowLastColumn="0" w:lastRowFirstColumn="0" w:lastRowLastColumn="0"/>
            </w:pPr>
            <w:r>
              <w:rPr>
                <w:noProof/>
              </w:rPr>
              <w:lastRenderedPageBreak/>
              <mc:AlternateContent>
                <mc:Choice Requires="wps">
                  <w:drawing>
                    <wp:anchor distT="0" distB="0" distL="114300" distR="114300" simplePos="0" relativeHeight="251739136" behindDoc="0" locked="0" layoutInCell="1" allowOverlap="1" wp14:anchorId="4633D343" wp14:editId="4D3C9EBC">
                      <wp:simplePos x="0" y="0"/>
                      <wp:positionH relativeFrom="column">
                        <wp:posOffset>67945</wp:posOffset>
                      </wp:positionH>
                      <wp:positionV relativeFrom="paragraph">
                        <wp:posOffset>1533525</wp:posOffset>
                      </wp:positionV>
                      <wp:extent cx="499745" cy="579755"/>
                      <wp:effectExtent l="76200" t="38100" r="52705" b="48895"/>
                      <wp:wrapNone/>
                      <wp:docPr id="44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745" cy="579755"/>
                              </a:xfrm>
                              <a:prstGeom prst="upArrow">
                                <a:avLst>
                                  <a:gd name="adj1" fmla="val 50000"/>
                                  <a:gd name="adj2" fmla="val 29003"/>
                                </a:avLst>
                              </a:prstGeom>
                              <a:solidFill>
                                <a:srgbClr val="C00000"/>
                              </a:solidFill>
                              <a:ln w="38100" cmpd="sng">
                                <a:solidFill>
                                  <a:srgbClr val="C00000"/>
                                </a:solidFill>
                                <a:prstDash val="solid"/>
                                <a:miter lim="800000"/>
                                <a:headEnd/>
                                <a:tailEnd/>
                              </a:ln>
                              <a:effectLst>
                                <a:outerShdw dist="28398" dir="3806097" algn="ctr" rotWithShape="0">
                                  <a:schemeClr val="accent3">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26" type="#_x0000_t68" style="position:absolute;margin-left:5.35pt;margin-top:120.75pt;width:39.35pt;height:45.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" fillcolor="#c00000" strokecolor="#c00000" strokeweight="3pt">
                      <v:shadow on="t" color="#4c4c4c [1606]" opacity=".5" offset="1pt"/>
                      <v:textbox style="layout-flow:vertical-ideographic"/>
                    </v:shape>
                  </w:pict>
                </mc:Fallback>
              </mc:AlternateContent>
            </w:r>
          </w:p>
        </w:tc>
      </w:tr>
      <w:tr w:rsidR="001B29F9" w:rsidTr="005B075A">
        <w:tc>
          <w:tcPr>
            <w:cnfStyle w:val="001000000000" w:firstRow="0" w:lastRow="0" w:firstColumn="1" w:lastColumn="0" w:oddVBand="0" w:evenVBand="0" w:oddHBand="0" w:evenHBand="0" w:firstRowFirstColumn="0" w:firstRowLastColumn="0" w:lastRowFirstColumn="0" w:lastRowLastColumn="0"/>
            <w:tcW w:w="2448" w:type="dxa"/>
            <w:vAlign w:val="top"/>
          </w:tcPr>
          <w:p w:rsidR="001B29F9" w:rsidRPr="001C7F5D" w:rsidRDefault="001B29F9" w:rsidP="001C7F5D">
            <w:pPr>
              <w:pStyle w:val="ListParagraph"/>
              <w:numPr>
                <w:ilvl w:val="0"/>
                <w:numId w:val="104"/>
              </w:numPr>
              <w:spacing w:after="150"/>
              <w:jc w:val="both"/>
            </w:pPr>
            <w:r w:rsidRPr="001C7F5D">
              <w:lastRenderedPageBreak/>
              <w:t>A felszámolási értékesítés nyilvános pályázat vagy árverés formájában történhet.</w:t>
            </w:r>
          </w:p>
          <w:p w:rsidR="001B29F9" w:rsidRPr="008B5E9E" w:rsidRDefault="001B29F9" w:rsidP="008B5E9E">
            <w:pPr>
              <w:pStyle w:val="ListParagraph"/>
              <w:numPr>
                <w:ilvl w:val="0"/>
                <w:numId w:val="104"/>
              </w:numPr>
              <w:spacing w:after="150"/>
              <w:jc w:val="both"/>
            </w:pPr>
            <w:r w:rsidRPr="008B5E9E">
              <w:t>A vagyontárgyakat az adott piaci körülmények között elérhető legmagasabb áron kell eladni.</w:t>
            </w:r>
          </w:p>
          <w:p w:rsidR="001B29F9" w:rsidRPr="008B5E9E" w:rsidRDefault="001B29F9" w:rsidP="008B5E9E">
            <w:pPr>
              <w:pStyle w:val="ListParagraph"/>
              <w:numPr>
                <w:ilvl w:val="0"/>
                <w:numId w:val="104"/>
              </w:numPr>
              <w:spacing w:after="150"/>
              <w:jc w:val="both"/>
            </w:pPr>
            <w:r w:rsidRPr="008B5E9E">
              <w:t xml:space="preserve">A biztosított hitelezők az érintett zálogtárgyakat csak a felszámoló két sikertelen értékesítési </w:t>
            </w:r>
            <w:r w:rsidRPr="008B5E9E">
              <w:lastRenderedPageBreak/>
              <w:t>kísérlete után szerezhetik meg.</w:t>
            </w:r>
          </w:p>
        </w:tc>
        <w:tc>
          <w:tcPr>
            <w:tcW w:w="3060" w:type="dxa"/>
            <w:vAlign w:val="top"/>
          </w:tcPr>
          <w:p w:rsidR="001B29F9" w:rsidRPr="006F386D"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lastRenderedPageBreak/>
              <w:t xml:space="preserve">A felszámolási értékesítés hatékonysága csökken a potenciális vevők hiánya miatt. </w:t>
            </w:r>
          </w:p>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Úgy tűnik, a közvetlenül a felszámolási eljárásban történő eszközvásárlás helyett a professzionális befektetők előnyben részesítik a közvetlenül a bankoktól történő eszközvásárlást</w:t>
            </w:r>
            <w:proofErr w:type="gramStart"/>
            <w:r>
              <w:t>, ;</w:t>
            </w:r>
            <w:proofErr w:type="gramEnd"/>
            <w:r>
              <w:t xml:space="preserve"> azonban gyakran az elhúzódó eljárás miatt elveszítik érdeklődésüket az eszköz iránt.</w:t>
            </w:r>
          </w:p>
        </w:tc>
        <w:tc>
          <w:tcPr>
            <w:tcW w:w="2880" w:type="dxa"/>
            <w:vAlign w:val="top"/>
          </w:tcPr>
          <w:p w:rsidR="001B29F9" w:rsidRPr="006F386D"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potenciális vásárlókat ösztönözni kellene bizonyos adó- és illeték-kedvezményekkel a felszámolási folyamatban való vásárlásra.</w:t>
            </w:r>
          </w:p>
          <w:p w:rsidR="001B29F9" w:rsidRDefault="004057CC"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43232" behindDoc="0" locked="0" layoutInCell="1" allowOverlap="1" wp14:anchorId="29A28204" wp14:editId="5A62A69F">
                      <wp:simplePos x="0" y="0"/>
                      <wp:positionH relativeFrom="column">
                        <wp:posOffset>1871980</wp:posOffset>
                      </wp:positionH>
                      <wp:positionV relativeFrom="paragraph">
                        <wp:posOffset>10160</wp:posOffset>
                      </wp:positionV>
                      <wp:extent cx="521970" cy="579120"/>
                      <wp:effectExtent l="76200" t="38100" r="49530" b="49530"/>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579120"/>
                              </a:xfrm>
                              <a:prstGeom prst="upArrow">
                                <a:avLst>
                                  <a:gd name="adj1" fmla="val 50000"/>
                                  <a:gd name="adj2" fmla="val 27737"/>
                                </a:avLst>
                              </a:prstGeom>
                              <a:noFill/>
                              <a:ln w="38100" cmpd="sng">
                                <a:solidFill>
                                  <a:schemeClr val="tx1">
                                    <a:lumMod val="100000"/>
                                    <a:lumOff val="0"/>
                                  </a:schemeClr>
                                </a:solidFill>
                                <a:prstDash val="solid"/>
                                <a:miter lim="800000"/>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solidFill>
                                      <a:srgbClr val="C00000"/>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8" style="position:absolute;margin-left:147.4pt;margin-top:.8pt;width:41.1pt;height:45.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" filled="f" fillcolor="#c00000" strokecolor="black [3213]" strokeweight="3pt">
                      <v:shadow on="t" color="#4c4c4c [1606]" opacity=".5" offset="1pt"/>
                      <v:textbox style="layout-flow:vertical-ideographic"/>
                    </v:shape>
                  </w:pict>
                </mc:Fallback>
              </mc:AlternateContent>
            </w:r>
            <w:r w:rsidR="001B29F9">
              <w:t>Szükséges lenne egy széles körben hozzáférhető, megfelelően hirdetett és felhasználóbarát értékesítési weboldal indítása a felszámolási értékesítés elősegítésére.</w:t>
            </w:r>
          </w:p>
        </w:tc>
        <w:tc>
          <w:tcPr>
            <w:tcW w:w="1260" w:type="dxa"/>
            <w:vAlign w:val="top"/>
          </w:tcPr>
          <w:p w:rsidR="001B29F9" w:rsidRDefault="001B29F9" w:rsidP="005B075A">
            <w:pPr>
              <w:cnfStyle w:val="000000000000" w:firstRow="0" w:lastRow="0" w:firstColumn="0" w:lastColumn="0" w:oddVBand="0" w:evenVBand="0" w:oddHBand="0" w:evenHBand="0" w:firstRowFirstColumn="0" w:firstRowLastColumn="0" w:lastRowFirstColumn="0" w:lastRowLastColumn="0"/>
            </w:pPr>
          </w:p>
        </w:tc>
      </w:tr>
      <w:tr w:rsidR="001B29F9" w:rsidTr="005B075A">
        <w:tc>
          <w:tcPr>
            <w:cnfStyle w:val="001000000000" w:firstRow="0" w:lastRow="0" w:firstColumn="1" w:lastColumn="0" w:oddVBand="0" w:evenVBand="0" w:oddHBand="0" w:evenHBand="0" w:firstRowFirstColumn="0" w:firstRowLastColumn="0" w:lastRowFirstColumn="0" w:lastRowLastColumn="0"/>
            <w:tcW w:w="2448" w:type="dxa"/>
            <w:vAlign w:val="top"/>
          </w:tcPr>
          <w:p w:rsidR="001B29F9" w:rsidRPr="008B5E9E" w:rsidRDefault="001B29F9" w:rsidP="008B5E9E">
            <w:pPr>
              <w:pStyle w:val="ListParagraph"/>
              <w:numPr>
                <w:ilvl w:val="0"/>
                <w:numId w:val="104"/>
              </w:numPr>
            </w:pPr>
            <w:r w:rsidRPr="008B5E9E">
              <w:lastRenderedPageBreak/>
              <w:t>(nincs adat)</w:t>
            </w:r>
          </w:p>
        </w:tc>
        <w:tc>
          <w:tcPr>
            <w:tcW w:w="3060" w:type="dxa"/>
            <w:vAlign w:val="top"/>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bankok növekvő számú csalást és korrupciós esetet tapasztalnak, melyek hatékony felderítését és szankcionálását akadályozza a rendőrség és az ügyészség szaktudásának hiányossága.</w:t>
            </w:r>
          </w:p>
        </w:tc>
        <w:tc>
          <w:tcPr>
            <w:tcW w:w="2880" w:type="dxa"/>
            <w:vAlign w:val="top"/>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fizetésképtelenségi ügyekre specializálódott bí</w:t>
            </w:r>
            <w:r w:rsidR="004057CC">
              <w:rPr>
                <w:noProof/>
              </w:rPr>
              <mc:AlternateContent>
                <mc:Choice Requires="wps">
                  <w:drawing>
                    <wp:anchor distT="0" distB="0" distL="114300" distR="114300" simplePos="0" relativeHeight="251744256" behindDoc="0" locked="0" layoutInCell="1" allowOverlap="1" wp14:anchorId="159F136E" wp14:editId="12B92B7F">
                      <wp:simplePos x="0" y="0"/>
                      <wp:positionH relativeFrom="column">
                        <wp:posOffset>1871980</wp:posOffset>
                      </wp:positionH>
                      <wp:positionV relativeFrom="paragraph">
                        <wp:posOffset>377190</wp:posOffset>
                      </wp:positionV>
                      <wp:extent cx="521970" cy="579120"/>
                      <wp:effectExtent l="76200" t="38100" r="49530" b="49530"/>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579120"/>
                              </a:xfrm>
                              <a:prstGeom prst="upArrow">
                                <a:avLst>
                                  <a:gd name="adj1" fmla="val 50000"/>
                                  <a:gd name="adj2" fmla="val 27737"/>
                                </a:avLst>
                              </a:prstGeom>
                              <a:noFill/>
                              <a:ln w="38100" cmpd="sng">
                                <a:solidFill>
                                  <a:schemeClr val="tx1">
                                    <a:lumMod val="100000"/>
                                    <a:lumOff val="0"/>
                                  </a:schemeClr>
                                </a:solidFill>
                                <a:prstDash val="solid"/>
                                <a:miter lim="800000"/>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solidFill>
                                      <a:srgbClr val="C00000"/>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8" style="position:absolute;margin-left:147.4pt;margin-top:29.7pt;width:41.1pt;height:45.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" filled="f" fillcolor="#c00000" strokecolor="black [3213]" strokeweight="3pt">
                      <v:shadow on="t" color="#4c4c4c [1606]" opacity=".5" offset="1pt"/>
                      <v:textbox style="layout-flow:vertical-ideographic"/>
                    </v:shape>
                  </w:pict>
                </mc:Fallback>
              </mc:AlternateContent>
            </w:r>
            <w:r>
              <w:t>rók mellett a rendőrök és az ügyészek is alaposabb oktatást kellene, hogy kapjanak gazdasági, számviteli és egyéb üzleti jellegű témák kapcsán.</w:t>
            </w:r>
          </w:p>
        </w:tc>
        <w:tc>
          <w:tcPr>
            <w:tcW w:w="1260" w:type="dxa"/>
            <w:vAlign w:val="top"/>
          </w:tcPr>
          <w:p w:rsidR="001B29F9" w:rsidRDefault="001B29F9" w:rsidP="005B075A">
            <w:pPr>
              <w:cnfStyle w:val="000000000000" w:firstRow="0" w:lastRow="0" w:firstColumn="0" w:lastColumn="0" w:oddVBand="0" w:evenVBand="0" w:oddHBand="0" w:evenHBand="0" w:firstRowFirstColumn="0" w:firstRowLastColumn="0" w:lastRowFirstColumn="0" w:lastRowLastColumn="0"/>
            </w:pPr>
          </w:p>
        </w:tc>
      </w:tr>
      <w:tr w:rsidR="001B29F9" w:rsidTr="005B075A">
        <w:tc>
          <w:tcPr>
            <w:cnfStyle w:val="001000000000" w:firstRow="0" w:lastRow="0" w:firstColumn="1" w:lastColumn="0" w:oddVBand="0" w:evenVBand="0" w:oddHBand="0" w:evenHBand="0" w:firstRowFirstColumn="0" w:firstRowLastColumn="0" w:lastRowFirstColumn="0" w:lastRowLastColumn="0"/>
            <w:tcW w:w="2448" w:type="dxa"/>
            <w:vAlign w:val="top"/>
          </w:tcPr>
          <w:p w:rsidR="001B29F9" w:rsidRPr="008B5E9E" w:rsidRDefault="001B29F9" w:rsidP="008B5E9E">
            <w:pPr>
              <w:pStyle w:val="ListParagraph"/>
              <w:numPr>
                <w:ilvl w:val="0"/>
                <w:numId w:val="104"/>
              </w:numPr>
              <w:spacing w:after="150"/>
              <w:jc w:val="both"/>
            </w:pPr>
            <w:r w:rsidRPr="008B5E9E">
              <w:t>A bírósági végrehajtó alapdíját az ügyérték vagy az eljárásra fordított idő alapulvételével kell kiszámolni, a végrehajtási eljárás sikerétől függetlenül.</w:t>
            </w:r>
          </w:p>
        </w:tc>
        <w:tc>
          <w:tcPr>
            <w:tcW w:w="3060" w:type="dxa"/>
            <w:vAlign w:val="top"/>
          </w:tcPr>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fennálló díjazási rendszerben nincsenek ösztönzők a bírósági végrehajtó számára a vagyontárgy hatékony értékesítésére; a hitelezők tapasztalata szerint magasak a díjak.</w:t>
            </w:r>
          </w:p>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A végrehajtási eljárások általában </w:t>
            </w:r>
            <w:proofErr w:type="gramStart"/>
            <w:r>
              <w:t>több, mint</w:t>
            </w:r>
            <w:proofErr w:type="gramEnd"/>
            <w:r>
              <w:t xml:space="preserve"> egy évig tartanak.</w:t>
            </w:r>
          </w:p>
        </w:tc>
        <w:tc>
          <w:tcPr>
            <w:tcW w:w="2880" w:type="dxa"/>
            <w:vAlign w:val="top"/>
          </w:tcPr>
          <w:p w:rsidR="001B29F9" w:rsidRPr="006F386D"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A bírósági végrehajtó díjazási rendszerének felülvizsgálata lenne szükséges.</w:t>
            </w:r>
          </w:p>
          <w:p w:rsidR="001B29F9" w:rsidRPr="006F386D" w:rsidRDefault="004057CC"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745280" behindDoc="0" locked="0" layoutInCell="1" allowOverlap="1" wp14:anchorId="64C65404" wp14:editId="27921617">
                      <wp:simplePos x="0" y="0"/>
                      <wp:positionH relativeFrom="column">
                        <wp:posOffset>1887220</wp:posOffset>
                      </wp:positionH>
                      <wp:positionV relativeFrom="paragraph">
                        <wp:posOffset>316230</wp:posOffset>
                      </wp:positionV>
                      <wp:extent cx="521970" cy="579120"/>
                      <wp:effectExtent l="76200" t="38100" r="49530" b="4953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 cy="579120"/>
                              </a:xfrm>
                              <a:prstGeom prst="upArrow">
                                <a:avLst>
                                  <a:gd name="adj1" fmla="val 50000"/>
                                  <a:gd name="adj2" fmla="val 27737"/>
                                </a:avLst>
                              </a:prstGeom>
                              <a:noFill/>
                              <a:ln w="38100" cmpd="sng">
                                <a:solidFill>
                                  <a:schemeClr val="tx1">
                                    <a:lumMod val="100000"/>
                                    <a:lumOff val="0"/>
                                  </a:schemeClr>
                                </a:solidFill>
                                <a:prstDash val="solid"/>
                                <a:miter lim="800000"/>
                                <a:headEnd/>
                                <a:tailEnd/>
                              </a:ln>
                              <a:effectLst>
                                <a:outerShdw dist="28398" dir="3806097" algn="ctr" rotWithShape="0">
                                  <a:schemeClr val="accent3">
                                    <a:lumMod val="50000"/>
                                    <a:lumOff val="0"/>
                                    <a:alpha val="50000"/>
                                  </a:schemeClr>
                                </a:outerShdw>
                              </a:effectLst>
                              <a:extLst>
                                <a:ext uri="{909E8E84-426E-40DD-AFC4-6F175D3DCCD1}">
                                  <a14:hiddenFill xmlns:a14="http://schemas.microsoft.com/office/drawing/2010/main">
                                    <a:solidFill>
                                      <a:srgbClr val="C00000"/>
                                    </a:solidFill>
                                  </a14:hiddenFill>
                                </a:ext>
                              </a:ex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8" style="position:absolute;margin-left:148.6pt;margin-top:24.9pt;width:41.1pt;height:45.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" filled="f" fillcolor="#c00000" strokecolor="black [3213]" strokeweight="3pt">
                      <v:shadow on="t" color="#4c4c4c [1606]" opacity=".5" offset="1pt"/>
                      <v:textbox style="layout-flow:vertical-ideographic"/>
                    </v:shape>
                  </w:pict>
                </mc:Fallback>
              </mc:AlternateContent>
            </w:r>
            <w:r w:rsidR="001B29F9">
              <w:t>Speciális törvényi kötelezettségek és határidők előírása lenne szükséges a bírósági végrehajtó számára, hogy reagáljon a hitelezők kérdéseire és általánosságban a végrehajtás lezárására.</w:t>
            </w:r>
          </w:p>
          <w:p w:rsidR="001B29F9" w:rsidRDefault="001B29F9" w:rsidP="009A73FD">
            <w:pPr>
              <w:pStyle w:val="ListParagraph"/>
              <w:numPr>
                <w:ilvl w:val="0"/>
                <w:numId w:val="68"/>
              </w:numPr>
              <w:spacing w:after="150"/>
              <w:ind w:left="284" w:hanging="284"/>
              <w:jc w:val="both"/>
              <w:cnfStyle w:val="000000000000" w:firstRow="0" w:lastRow="0" w:firstColumn="0" w:lastColumn="0" w:oddVBand="0" w:evenVBand="0" w:oddHBand="0" w:evenHBand="0" w:firstRowFirstColumn="0" w:firstRowLastColumn="0" w:lastRowFirstColumn="0" w:lastRowLastColumn="0"/>
            </w:pPr>
            <w:r>
              <w:t xml:space="preserve">A bírósági végrehajtónak rendszeres beszámolási kötelezettsége kellene, hogy legyen a hitelezők felé. </w:t>
            </w:r>
          </w:p>
        </w:tc>
        <w:tc>
          <w:tcPr>
            <w:tcW w:w="1260" w:type="dxa"/>
            <w:vAlign w:val="top"/>
          </w:tcPr>
          <w:p w:rsidR="001B29F9" w:rsidRDefault="001B29F9" w:rsidP="005B075A">
            <w:pPr>
              <w:cnfStyle w:val="000000000000" w:firstRow="0" w:lastRow="0" w:firstColumn="0" w:lastColumn="0" w:oddVBand="0" w:evenVBand="0" w:oddHBand="0" w:evenHBand="0" w:firstRowFirstColumn="0" w:firstRowLastColumn="0" w:lastRowFirstColumn="0" w:lastRowLastColumn="0"/>
            </w:pPr>
          </w:p>
        </w:tc>
      </w:tr>
    </w:tbl>
    <w:p w:rsidR="001B29F9" w:rsidRPr="00836A9C" w:rsidRDefault="001B29F9" w:rsidP="001B29F9"/>
    <w:p w:rsidR="002E6054" w:rsidRPr="003249D9" w:rsidRDefault="002E6054" w:rsidP="002E6054">
      <w:pPr>
        <w:rPr>
          <w:rFonts w:asciiTheme="minorHAnsi" w:hAnsiTheme="minorHAnsi"/>
        </w:rPr>
      </w:pPr>
    </w:p>
    <w:p w:rsidR="002E6054" w:rsidRPr="003249D9" w:rsidRDefault="002E6054" w:rsidP="002E6054">
      <w:pPr>
        <w:tabs>
          <w:tab w:val="left" w:pos="1426"/>
        </w:tabs>
        <w:rPr>
          <w:rFonts w:asciiTheme="minorHAnsi" w:hAnsiTheme="minorHAnsi"/>
        </w:rPr>
      </w:pPr>
      <w:r w:rsidRPr="003249D9">
        <w:tab/>
      </w:r>
    </w:p>
    <w:p w:rsidR="002E6054" w:rsidRPr="003249D9" w:rsidRDefault="002E6054" w:rsidP="002E6054">
      <w:pPr>
        <w:rPr>
          <w:rFonts w:asciiTheme="minorHAnsi" w:hAnsiTheme="minorHAnsi"/>
        </w:rPr>
      </w:pPr>
    </w:p>
    <w:p w:rsidR="00BF6ACB" w:rsidRPr="003249D9" w:rsidRDefault="00BF6ACB" w:rsidP="002E6054">
      <w:pPr>
        <w:rPr>
          <w:rFonts w:asciiTheme="minorHAnsi" w:hAnsiTheme="minorHAnsi"/>
        </w:rPr>
        <w:sectPr w:rsidR="00BF6ACB" w:rsidRPr="003249D9" w:rsidSect="00BF6ACB">
          <w:headerReference w:type="default" r:id="rId26"/>
          <w:footerReference w:type="default" r:id="rId27"/>
          <w:pgSz w:w="11907" w:h="16839" w:code="9"/>
          <w:pgMar w:top="2304" w:right="792" w:bottom="1022" w:left="792" w:header="605" w:footer="706" w:gutter="0"/>
          <w:cols w:space="720"/>
          <w:docGrid w:linePitch="360"/>
        </w:sectPr>
      </w:pPr>
    </w:p>
    <w:p w:rsidR="00BF6ACB" w:rsidRPr="003249D9" w:rsidRDefault="00AB7CFF" w:rsidP="00BF6ACB">
      <w:pPr>
        <w:pStyle w:val="TASSectiontitle"/>
        <w:framePr w:wrap="around"/>
        <w:rPr>
          <w:rFonts w:asciiTheme="minorHAnsi" w:hAnsiTheme="minorHAnsi"/>
        </w:rPr>
      </w:pPr>
      <w:bookmarkStart w:id="3" w:name="_Toc401154914"/>
      <w:bookmarkStart w:id="4" w:name="_Toc403750017"/>
      <w:r w:rsidRPr="003249D9">
        <w:rPr>
          <w:rFonts w:asciiTheme="minorHAnsi" w:hAnsiTheme="minorHAnsi"/>
        </w:rPr>
        <w:lastRenderedPageBreak/>
        <w:t>A projekt előzményei</w:t>
      </w:r>
      <w:bookmarkEnd w:id="3"/>
      <w:bookmarkEnd w:id="4"/>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sdt>
      <w:sdtPr>
        <w:rPr>
          <w:rFonts w:asciiTheme="minorHAnsi" w:hAnsiTheme="minorHAnsi"/>
        </w:rPr>
        <w:alias w:val="TAS Subsection TOC"/>
        <w:tag w:val="TASSubsectionTOC"/>
        <w:id w:val="842439951"/>
      </w:sdtPr>
      <w:sdtContent>
        <w:p w:rsidR="00BF6ACB" w:rsidRPr="003249D9" w:rsidRDefault="00AB7CFF" w:rsidP="009A73FD">
          <w:pPr>
            <w:pStyle w:val="TASTOC3"/>
            <w:numPr>
              <w:ilvl w:val="0"/>
              <w:numId w:val="16"/>
            </w:numPr>
            <w:rPr>
              <w:rFonts w:asciiTheme="minorHAnsi" w:hAnsiTheme="minorHAnsi"/>
            </w:rPr>
          </w:pPr>
          <w:r w:rsidRPr="003249D9">
            <w:rPr>
              <w:rFonts w:asciiTheme="minorHAnsi" w:hAnsiTheme="minorHAnsi"/>
            </w:rPr>
            <w:t>A projekt előzményei</w:t>
          </w:r>
        </w:p>
      </w:sdtContent>
    </w:sdt>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sectPr w:rsidR="00BF6ACB" w:rsidRPr="003249D9" w:rsidSect="00BF6ACB">
          <w:headerReference w:type="default" r:id="rId28"/>
          <w:footerReference w:type="default" r:id="rId29"/>
          <w:headerReference w:type="first" r:id="rId30"/>
          <w:footerReference w:type="first" r:id="rId31"/>
          <w:pgSz w:w="11906" w:h="16838" w:code="9"/>
          <w:pgMar w:top="2304" w:right="792" w:bottom="792" w:left="792" w:header="605" w:footer="706" w:gutter="0"/>
          <w:cols w:space="708"/>
          <w:docGrid w:linePitch="360"/>
        </w:sectPr>
      </w:pPr>
    </w:p>
    <w:p w:rsidR="00BF6ACB" w:rsidRPr="003249D9" w:rsidRDefault="00AB7CFF" w:rsidP="00BF6ACB">
      <w:pPr>
        <w:pStyle w:val="TASSubsection"/>
        <w:framePr w:wrap="around"/>
        <w:rPr>
          <w:rFonts w:asciiTheme="minorHAnsi" w:hAnsiTheme="minorHAnsi"/>
        </w:rPr>
      </w:pPr>
      <w:bookmarkStart w:id="5" w:name="_Toc401154915"/>
      <w:bookmarkStart w:id="6" w:name="_Toc403750018"/>
      <w:r w:rsidRPr="003249D9">
        <w:rPr>
          <w:rFonts w:asciiTheme="minorHAnsi" w:hAnsiTheme="minorHAnsi"/>
        </w:rPr>
        <w:lastRenderedPageBreak/>
        <w:t>A projekt előzményei</w:t>
      </w:r>
      <w:bookmarkEnd w:id="5"/>
      <w:bookmarkEnd w:id="6"/>
    </w:p>
    <w:p w:rsidR="00BF6ACB" w:rsidRPr="003249D9" w:rsidRDefault="00AB7CFF" w:rsidP="00BF6ACB">
      <w:pPr>
        <w:pStyle w:val="TASStraplinefirst"/>
        <w:framePr w:wrap="notBeside"/>
        <w:rPr>
          <w:rFonts w:asciiTheme="minorHAnsi" w:hAnsiTheme="minorHAnsi"/>
        </w:rPr>
      </w:pPr>
      <w:r w:rsidRPr="003249D9">
        <w:rPr>
          <w:rFonts w:asciiTheme="minorHAnsi" w:hAnsiTheme="minorHAnsi"/>
        </w:rPr>
        <w:t>A projekt bemutatása</w:t>
      </w:r>
    </w:p>
    <w:p w:rsidR="00BF6ACB" w:rsidRPr="003249D9" w:rsidRDefault="00AB7CFF" w:rsidP="00BF6ACB">
      <w:pPr>
        <w:pStyle w:val="TASTextheading1"/>
        <w:rPr>
          <w:rFonts w:asciiTheme="minorHAnsi" w:hAnsiTheme="minorHAnsi"/>
        </w:rPr>
      </w:pPr>
      <w:r w:rsidRPr="003249D9">
        <w:rPr>
          <w:rFonts w:asciiTheme="minorHAnsi" w:hAnsiTheme="minorHAnsi"/>
        </w:rPr>
        <w:t>Bevezetés</w:t>
      </w:r>
    </w:p>
    <w:p w:rsidR="00BF6ACB" w:rsidRPr="003249D9" w:rsidRDefault="00AB7CFF" w:rsidP="009A73FD">
      <w:pPr>
        <w:pStyle w:val="TASBullet1"/>
        <w:numPr>
          <w:ilvl w:val="0"/>
          <w:numId w:val="17"/>
        </w:numPr>
        <w:rPr>
          <w:rFonts w:asciiTheme="minorHAnsi" w:hAnsiTheme="minorHAnsi"/>
        </w:rPr>
      </w:pPr>
      <w:r w:rsidRPr="003249D9">
        <w:rPr>
          <w:rFonts w:asciiTheme="minorHAnsi" w:hAnsiTheme="minorHAnsi"/>
        </w:rPr>
        <w:t xml:space="preserve">Az MNB a </w:t>
      </w:r>
      <w:proofErr w:type="spellStart"/>
      <w:r w:rsidRPr="003249D9">
        <w:rPr>
          <w:rFonts w:asciiTheme="minorHAnsi" w:hAnsiTheme="minorHAnsi"/>
        </w:rPr>
        <w:t>nemteljesítő</w:t>
      </w:r>
      <w:proofErr w:type="spellEnd"/>
      <w:r w:rsidRPr="003249D9">
        <w:rPr>
          <w:rFonts w:asciiTheme="minorHAnsi" w:hAnsiTheme="minorHAnsi"/>
        </w:rPr>
        <w:t xml:space="preserve"> hitelek nagy mennyiségét és azoknak Magyarország és a Magyarországon működő bankok pénzügyi stabilitására és hosszú távú gazdasági teljesítményére gyakorolt hatását vizsgálta. Az MNB munkacsoportot hozott létre a </w:t>
      </w:r>
      <w:proofErr w:type="spellStart"/>
      <w:r w:rsidRPr="003249D9">
        <w:rPr>
          <w:rFonts w:asciiTheme="minorHAnsi" w:hAnsiTheme="minorHAnsi"/>
        </w:rPr>
        <w:t>nemteljesítő</w:t>
      </w:r>
      <w:proofErr w:type="spellEnd"/>
      <w:r w:rsidRPr="003249D9">
        <w:rPr>
          <w:rFonts w:asciiTheme="minorHAnsi" w:hAnsiTheme="minorHAnsi"/>
        </w:rPr>
        <w:t xml:space="preserve"> hitelek jelentette helyzet megoldására, valamint e kezdeményezés részeként hivatalosan felkérte az EBRD-t, hogy folytasson le vizsgálatot és a </w:t>
      </w:r>
      <w:proofErr w:type="spellStart"/>
      <w:r w:rsidRPr="003249D9">
        <w:rPr>
          <w:rFonts w:asciiTheme="minorHAnsi" w:hAnsiTheme="minorHAnsi"/>
        </w:rPr>
        <w:t>nemteljesítő</w:t>
      </w:r>
      <w:proofErr w:type="spellEnd"/>
      <w:r w:rsidRPr="003249D9">
        <w:rPr>
          <w:rFonts w:asciiTheme="minorHAnsi" w:hAnsiTheme="minorHAnsi"/>
        </w:rPr>
        <w:t xml:space="preserve"> hitelek hatékonyabb kezelése érdekében elemezze a hitel </w:t>
      </w:r>
      <w:proofErr w:type="spellStart"/>
      <w:r w:rsidRPr="003249D9">
        <w:rPr>
          <w:rFonts w:asciiTheme="minorHAnsi" w:hAnsiTheme="minorHAnsi"/>
        </w:rPr>
        <w:t>restrukturálás</w:t>
      </w:r>
      <w:proofErr w:type="spellEnd"/>
      <w:r w:rsidRPr="003249D9">
        <w:rPr>
          <w:rFonts w:asciiTheme="minorHAnsi" w:hAnsiTheme="minorHAnsi"/>
        </w:rPr>
        <w:t xml:space="preserve"> és felszámolás magyarországi kereteit (a „</w:t>
      </w:r>
      <w:r w:rsidRPr="003249D9">
        <w:rPr>
          <w:rFonts w:asciiTheme="minorHAnsi" w:hAnsiTheme="minorHAnsi"/>
          <w:b/>
        </w:rPr>
        <w:t>Projekt</w:t>
      </w:r>
      <w:r w:rsidRPr="003249D9">
        <w:rPr>
          <w:rFonts w:asciiTheme="minorHAnsi" w:hAnsiTheme="minorHAnsi"/>
        </w:rPr>
        <w:t>”). Az EBRD jogi támogatását az EBRD főtanácsadói hivatalának jogi átmeneti csapata („</w:t>
      </w:r>
      <w:r w:rsidRPr="003249D9">
        <w:rPr>
          <w:rFonts w:asciiTheme="minorHAnsi" w:hAnsiTheme="minorHAnsi"/>
          <w:b/>
        </w:rPr>
        <w:t>LTT</w:t>
      </w:r>
      <w:r w:rsidRPr="003249D9">
        <w:rPr>
          <w:rFonts w:asciiTheme="minorHAnsi" w:hAnsiTheme="minorHAnsi"/>
        </w:rPr>
        <w:t>”) nyújtja, amely fontos szerepet játszik az ERBD jogi reformokban való szerepvállalásában.</w:t>
      </w:r>
    </w:p>
    <w:p w:rsidR="00BF6ACB" w:rsidRPr="003249D9" w:rsidRDefault="00AB7CFF" w:rsidP="009A73FD">
      <w:pPr>
        <w:pStyle w:val="TASBullet1"/>
        <w:numPr>
          <w:ilvl w:val="0"/>
          <w:numId w:val="17"/>
        </w:numPr>
        <w:rPr>
          <w:rFonts w:asciiTheme="minorHAnsi" w:hAnsiTheme="minorHAnsi"/>
        </w:rPr>
      </w:pPr>
      <w:r w:rsidRPr="003249D9">
        <w:rPr>
          <w:rFonts w:asciiTheme="minorHAnsi" w:hAnsiTheme="minorHAnsi"/>
        </w:rPr>
        <w:t>Az LTT kezdeményezést indított az MNB támogatására</w:t>
      </w:r>
      <w:r w:rsidR="00E93EF5">
        <w:rPr>
          <w:rFonts w:asciiTheme="minorHAnsi" w:hAnsiTheme="minorHAnsi"/>
        </w:rPr>
        <w:t xml:space="preserve"> a jogi személy adósokat érintő </w:t>
      </w:r>
      <w:proofErr w:type="spellStart"/>
      <w:r w:rsidR="00E93EF5">
        <w:rPr>
          <w:rFonts w:asciiTheme="minorHAnsi" w:hAnsiTheme="minorHAnsi"/>
        </w:rPr>
        <w:t>restrukturálási</w:t>
      </w:r>
      <w:proofErr w:type="spellEnd"/>
      <w:r w:rsidR="00E93EF5">
        <w:rPr>
          <w:rFonts w:asciiTheme="minorHAnsi" w:hAnsiTheme="minorHAnsi"/>
        </w:rPr>
        <w:t xml:space="preserve"> és fizetésképtelenségi eljárások </w:t>
      </w:r>
      <w:r w:rsidR="00DC75BF">
        <w:rPr>
          <w:rFonts w:asciiTheme="minorHAnsi" w:hAnsiTheme="minorHAnsi"/>
        </w:rPr>
        <w:t xml:space="preserve">magyarországi </w:t>
      </w:r>
      <w:r w:rsidR="00E93EF5">
        <w:rPr>
          <w:rFonts w:asciiTheme="minorHAnsi" w:hAnsiTheme="minorHAnsi"/>
        </w:rPr>
        <w:t>jogi és pénzügyi szabályrendszerét illetően</w:t>
      </w:r>
      <w:r w:rsidRPr="003249D9">
        <w:rPr>
          <w:rFonts w:asciiTheme="minorHAnsi" w:hAnsiTheme="minorHAnsi"/>
        </w:rPr>
        <w:t>.</w:t>
      </w:r>
      <w:r w:rsidR="009547F3">
        <w:rPr>
          <w:rStyle w:val="FootnoteReference"/>
          <w:rFonts w:asciiTheme="minorHAnsi" w:hAnsiTheme="minorHAnsi"/>
        </w:rPr>
        <w:footnoteReference w:id="4"/>
      </w:r>
      <w:r w:rsidRPr="003249D9">
        <w:rPr>
          <w:rFonts w:asciiTheme="minorHAnsi" w:hAnsiTheme="minorHAnsi"/>
        </w:rPr>
        <w:t xml:space="preserve"> A Projekt részeként a vállalati hitelek </w:t>
      </w:r>
      <w:proofErr w:type="spellStart"/>
      <w:r w:rsidRPr="003249D9">
        <w:rPr>
          <w:rFonts w:asciiTheme="minorHAnsi" w:hAnsiTheme="minorHAnsi"/>
        </w:rPr>
        <w:t>restrukturálásának</w:t>
      </w:r>
      <w:proofErr w:type="spellEnd"/>
      <w:r w:rsidRPr="003249D9">
        <w:rPr>
          <w:rFonts w:asciiTheme="minorHAnsi" w:hAnsiTheme="minorHAnsi"/>
        </w:rPr>
        <w:t xml:space="preserve"> és felszámolásának magyar jogi és pénzügyi kereteinek elemzését végezték el. A Projekt célja a vállalati szektorban </w:t>
      </w:r>
      <w:proofErr w:type="spellStart"/>
      <w:r w:rsidRPr="003249D9">
        <w:rPr>
          <w:rFonts w:asciiTheme="minorHAnsi" w:hAnsiTheme="minorHAnsi"/>
        </w:rPr>
        <w:t>nemteljesítő</w:t>
      </w:r>
      <w:proofErr w:type="spellEnd"/>
      <w:r w:rsidRPr="003249D9">
        <w:rPr>
          <w:rFonts w:asciiTheme="minorHAnsi" w:hAnsiTheme="minorHAnsi"/>
        </w:rPr>
        <w:t xml:space="preserve"> hitelek hatékony és proaktív kezelését akadályozó tényezők azonosítása, valamint javaslatok tétele lehetséges megoldásokra és a pénzügyi </w:t>
      </w:r>
      <w:proofErr w:type="spellStart"/>
      <w:r w:rsidRPr="003249D9">
        <w:rPr>
          <w:rFonts w:asciiTheme="minorHAnsi" w:hAnsiTheme="minorHAnsi"/>
        </w:rPr>
        <w:t>restrukturálást</w:t>
      </w:r>
      <w:proofErr w:type="spellEnd"/>
      <w:r w:rsidRPr="003249D9">
        <w:rPr>
          <w:rFonts w:asciiTheme="minorHAnsi" w:hAnsiTheme="minorHAnsi"/>
        </w:rPr>
        <w:t xml:space="preserve"> elősegítő ösztönzőkre. Az EBRD-t pénzügyi tanácsadóként az EY, jogi tanácsadóként pedig a White &amp; </w:t>
      </w:r>
      <w:proofErr w:type="spellStart"/>
      <w:r w:rsidRPr="003249D9">
        <w:rPr>
          <w:rFonts w:asciiTheme="minorHAnsi" w:hAnsiTheme="minorHAnsi"/>
        </w:rPr>
        <w:t>Case</w:t>
      </w:r>
      <w:proofErr w:type="spellEnd"/>
      <w:r w:rsidRPr="003249D9">
        <w:rPr>
          <w:rFonts w:asciiTheme="minorHAnsi" w:hAnsiTheme="minorHAnsi"/>
        </w:rPr>
        <w:t xml:space="preserve"> segítette a projekt teljesítésében. </w:t>
      </w:r>
    </w:p>
    <w:p w:rsidR="00BF6ACB" w:rsidRPr="003249D9" w:rsidRDefault="00AB7CFF" w:rsidP="009A73FD">
      <w:pPr>
        <w:pStyle w:val="TASBullet1"/>
        <w:numPr>
          <w:ilvl w:val="0"/>
          <w:numId w:val="17"/>
        </w:numPr>
        <w:rPr>
          <w:rFonts w:asciiTheme="minorHAnsi" w:hAnsiTheme="minorHAnsi"/>
        </w:rPr>
      </w:pPr>
      <w:r w:rsidRPr="003249D9">
        <w:rPr>
          <w:rFonts w:asciiTheme="minorHAnsi" w:hAnsiTheme="minorHAnsi"/>
        </w:rPr>
        <w:t xml:space="preserve">A Projekt végcélja, hogy lehetővé tegye az MNB számára, hogy a magyar kormány számára jogalkotási javaslatot készítsen és nyújtson be a </w:t>
      </w:r>
      <w:proofErr w:type="spellStart"/>
      <w:r w:rsidRPr="003249D9">
        <w:rPr>
          <w:rFonts w:asciiTheme="minorHAnsi" w:hAnsiTheme="minorHAnsi"/>
        </w:rPr>
        <w:t>nemteljesítő</w:t>
      </w:r>
      <w:proofErr w:type="spellEnd"/>
      <w:r w:rsidRPr="003249D9">
        <w:rPr>
          <w:rFonts w:asciiTheme="minorHAnsi" w:hAnsiTheme="minorHAnsi"/>
        </w:rPr>
        <w:t xml:space="preserve"> hitelek jelentette magyarországi helyzet orvoslására az EY és a White &amp; </w:t>
      </w:r>
      <w:proofErr w:type="spellStart"/>
      <w:r w:rsidRPr="003249D9">
        <w:rPr>
          <w:rFonts w:asciiTheme="minorHAnsi" w:hAnsiTheme="minorHAnsi"/>
        </w:rPr>
        <w:t>Case</w:t>
      </w:r>
      <w:proofErr w:type="spellEnd"/>
      <w:r w:rsidRPr="003249D9">
        <w:rPr>
          <w:rFonts w:asciiTheme="minorHAnsi" w:hAnsiTheme="minorHAnsi"/>
        </w:rPr>
        <w:t>, valamint az EBRD közös munkájaként létrejött részletes jelentés alapján.</w:t>
      </w:r>
    </w:p>
    <w:p w:rsidR="00BF6ACB" w:rsidRPr="003249D9" w:rsidRDefault="00AB7CFF" w:rsidP="00BF6ACB">
      <w:pPr>
        <w:pStyle w:val="TASTextheading2"/>
        <w:rPr>
          <w:rFonts w:asciiTheme="minorHAnsi" w:hAnsiTheme="minorHAnsi"/>
        </w:rPr>
      </w:pPr>
      <w:r w:rsidRPr="003249D9">
        <w:rPr>
          <w:rFonts w:asciiTheme="minorHAnsi" w:hAnsiTheme="minorHAnsi"/>
        </w:rPr>
        <w:t>Az információgyűjtés módszertana</w:t>
      </w:r>
    </w:p>
    <w:p w:rsidR="00BF6ACB" w:rsidRPr="003249D9" w:rsidRDefault="00AB7CFF" w:rsidP="009A73FD">
      <w:pPr>
        <w:pStyle w:val="TASBullet1"/>
        <w:numPr>
          <w:ilvl w:val="0"/>
          <w:numId w:val="17"/>
        </w:numPr>
        <w:rPr>
          <w:rFonts w:asciiTheme="minorHAnsi" w:hAnsiTheme="minorHAnsi"/>
        </w:rPr>
      </w:pPr>
      <w:r w:rsidRPr="003249D9">
        <w:rPr>
          <w:rFonts w:asciiTheme="minorHAnsi" w:hAnsiTheme="minorHAnsi"/>
        </w:rPr>
        <w:t xml:space="preserve">A jelentés célkitűzésének elérése érdekében számos olyan érdekelt felet azonosítottunk, akikről feltételezhető, hogy kellő tapasztalattal és rálátással bírnak a jelentés tárgyában, valamint konkrét ismereteket adhatnak. </w:t>
      </w:r>
    </w:p>
    <w:p w:rsidR="00BF6ACB" w:rsidRPr="003249D9" w:rsidRDefault="00AB7CFF" w:rsidP="009A73FD">
      <w:pPr>
        <w:pStyle w:val="TASBullet1"/>
        <w:numPr>
          <w:ilvl w:val="0"/>
          <w:numId w:val="17"/>
        </w:numPr>
        <w:rPr>
          <w:rFonts w:asciiTheme="minorHAnsi" w:hAnsiTheme="minorHAnsi"/>
        </w:rPr>
      </w:pPr>
      <w:r w:rsidRPr="003249D9">
        <w:rPr>
          <w:rFonts w:asciiTheme="minorHAnsi" w:hAnsiTheme="minorHAnsi"/>
        </w:rPr>
        <w:t xml:space="preserve">Találkoztunk és interjút folytattunk le (az EY és a White &amp; </w:t>
      </w:r>
      <w:proofErr w:type="spellStart"/>
      <w:r w:rsidRPr="003249D9">
        <w:rPr>
          <w:rFonts w:asciiTheme="minorHAnsi" w:hAnsiTheme="minorHAnsi"/>
        </w:rPr>
        <w:t>Case</w:t>
      </w:r>
      <w:proofErr w:type="spellEnd"/>
      <w:r w:rsidRPr="003249D9">
        <w:rPr>
          <w:rFonts w:asciiTheme="minorHAnsi" w:hAnsiTheme="minorHAnsi"/>
        </w:rPr>
        <w:t xml:space="preserve">) többek között a jelentés célja szempontjából relevánsnak tekinthető és a magyar bankszektor 53%-át képviselő 6 bank </w:t>
      </w:r>
      <w:proofErr w:type="spellStart"/>
      <w:r w:rsidRPr="003249D9">
        <w:rPr>
          <w:rFonts w:asciiTheme="minorHAnsi" w:hAnsiTheme="minorHAnsi"/>
        </w:rPr>
        <w:t>CRO-jával</w:t>
      </w:r>
      <w:proofErr w:type="spellEnd"/>
      <w:r w:rsidRPr="003249D9">
        <w:rPr>
          <w:rFonts w:asciiTheme="minorHAnsi" w:hAnsiTheme="minorHAnsi"/>
        </w:rPr>
        <w:t xml:space="preserve"> és jogi vezetőjével.</w:t>
      </w:r>
    </w:p>
    <w:p w:rsidR="00BF6ACB" w:rsidRPr="003249D9" w:rsidRDefault="00AB7CFF" w:rsidP="009A73FD">
      <w:pPr>
        <w:pStyle w:val="TASBullet1"/>
        <w:numPr>
          <w:ilvl w:val="0"/>
          <w:numId w:val="17"/>
        </w:numPr>
        <w:rPr>
          <w:rFonts w:asciiTheme="minorHAnsi" w:hAnsiTheme="minorHAnsi"/>
        </w:rPr>
      </w:pPr>
      <w:r w:rsidRPr="003249D9">
        <w:rPr>
          <w:rFonts w:asciiTheme="minorHAnsi" w:hAnsiTheme="minorHAnsi"/>
        </w:rPr>
        <w:t>Találkoztunk továbbá az alábbi érdekelt felekkel:</w:t>
      </w:r>
    </w:p>
    <w:p w:rsidR="00BF6ACB" w:rsidRPr="003249D9" w:rsidRDefault="00AB7CFF" w:rsidP="009A73FD">
      <w:pPr>
        <w:pStyle w:val="TASBullet2"/>
        <w:numPr>
          <w:ilvl w:val="1"/>
          <w:numId w:val="17"/>
        </w:numPr>
        <w:rPr>
          <w:rFonts w:asciiTheme="minorHAnsi" w:hAnsiTheme="minorHAnsi"/>
        </w:rPr>
      </w:pPr>
      <w:r w:rsidRPr="003249D9">
        <w:rPr>
          <w:rFonts w:asciiTheme="minorHAnsi" w:hAnsiTheme="minorHAnsi"/>
        </w:rPr>
        <w:t xml:space="preserve">Felszámolók és Vagyonfelügyelők Országos Egyesülete </w:t>
      </w:r>
    </w:p>
    <w:p w:rsidR="00BF6ACB" w:rsidRPr="003249D9" w:rsidRDefault="00AB7CFF" w:rsidP="00BF6ACB">
      <w:pPr>
        <w:pStyle w:val="TASBullet2"/>
        <w:numPr>
          <w:ilvl w:val="0"/>
          <w:numId w:val="0"/>
        </w:numPr>
        <w:ind w:left="576"/>
        <w:rPr>
          <w:rFonts w:asciiTheme="minorHAnsi" w:hAnsiTheme="minorHAnsi"/>
        </w:rPr>
      </w:pPr>
      <w:r w:rsidRPr="003249D9">
        <w:rPr>
          <w:rFonts w:asciiTheme="minorHAnsi" w:hAnsiTheme="minorHAnsi"/>
        </w:rPr>
        <w:t>(</w:t>
      </w:r>
      <w:proofErr w:type="spellStart"/>
      <w:r w:rsidRPr="003249D9">
        <w:rPr>
          <w:rFonts w:asciiTheme="minorHAnsi" w:hAnsiTheme="minorHAnsi"/>
        </w:rPr>
        <w:t>Hungarian</w:t>
      </w:r>
      <w:proofErr w:type="spellEnd"/>
      <w:r w:rsidRPr="003249D9">
        <w:rPr>
          <w:rFonts w:asciiTheme="minorHAnsi" w:hAnsiTheme="minorHAnsi"/>
        </w:rPr>
        <w:t xml:space="preserve"> </w:t>
      </w:r>
      <w:proofErr w:type="spellStart"/>
      <w:r w:rsidRPr="003249D9">
        <w:rPr>
          <w:rFonts w:asciiTheme="minorHAnsi" w:hAnsiTheme="minorHAnsi"/>
        </w:rPr>
        <w:t>Association</w:t>
      </w:r>
      <w:proofErr w:type="spellEnd"/>
      <w:r w:rsidRPr="003249D9">
        <w:rPr>
          <w:rFonts w:asciiTheme="minorHAnsi" w:hAnsiTheme="minorHAnsi"/>
        </w:rPr>
        <w:t xml:space="preserve"> of </w:t>
      </w:r>
      <w:proofErr w:type="spellStart"/>
      <w:r w:rsidRPr="003249D9">
        <w:rPr>
          <w:rFonts w:asciiTheme="minorHAnsi" w:hAnsiTheme="minorHAnsi"/>
        </w:rPr>
        <w:t>Insolvency</w:t>
      </w:r>
      <w:proofErr w:type="spellEnd"/>
      <w:r w:rsidRPr="003249D9">
        <w:rPr>
          <w:rFonts w:asciiTheme="minorHAnsi" w:hAnsiTheme="minorHAnsi"/>
        </w:rPr>
        <w:t xml:space="preserve"> Office </w:t>
      </w:r>
      <w:proofErr w:type="spellStart"/>
      <w:r w:rsidRPr="003249D9">
        <w:rPr>
          <w:rFonts w:asciiTheme="minorHAnsi" w:hAnsiTheme="minorHAnsi"/>
        </w:rPr>
        <w:t>Holders</w:t>
      </w:r>
      <w:proofErr w:type="spellEnd"/>
      <w:r w:rsidRPr="003249D9">
        <w:rPr>
          <w:rFonts w:asciiTheme="minorHAnsi" w:hAnsiTheme="minorHAnsi"/>
        </w:rPr>
        <w:t>)</w:t>
      </w:r>
    </w:p>
    <w:p w:rsidR="00BF6ACB" w:rsidRPr="003249D9" w:rsidRDefault="00AB7CFF" w:rsidP="009A73FD">
      <w:pPr>
        <w:pStyle w:val="TASBullet2"/>
        <w:numPr>
          <w:ilvl w:val="1"/>
          <w:numId w:val="17"/>
        </w:numPr>
        <w:rPr>
          <w:rFonts w:asciiTheme="minorHAnsi" w:hAnsiTheme="minorHAnsi"/>
        </w:rPr>
      </w:pPr>
      <w:r w:rsidRPr="003249D9">
        <w:rPr>
          <w:rFonts w:asciiTheme="minorHAnsi" w:hAnsiTheme="minorHAnsi"/>
        </w:rPr>
        <w:t>Magyar Kereskedelmi és Iparkamara</w:t>
      </w:r>
    </w:p>
    <w:p w:rsidR="00BF6ACB" w:rsidRPr="003249D9" w:rsidRDefault="00AB7CFF" w:rsidP="00BF6ACB">
      <w:pPr>
        <w:pStyle w:val="TASBullet2"/>
        <w:numPr>
          <w:ilvl w:val="0"/>
          <w:numId w:val="0"/>
        </w:numPr>
        <w:ind w:left="576"/>
        <w:rPr>
          <w:rFonts w:asciiTheme="minorHAnsi" w:hAnsiTheme="minorHAnsi"/>
        </w:rPr>
      </w:pPr>
      <w:r w:rsidRPr="003249D9">
        <w:rPr>
          <w:rFonts w:asciiTheme="minorHAnsi" w:hAnsiTheme="minorHAnsi"/>
        </w:rPr>
        <w:t>(</w:t>
      </w:r>
      <w:proofErr w:type="spellStart"/>
      <w:r w:rsidRPr="003249D9">
        <w:rPr>
          <w:rFonts w:asciiTheme="minorHAnsi" w:hAnsiTheme="minorHAnsi"/>
        </w:rPr>
        <w:t>Hungarian</w:t>
      </w:r>
      <w:proofErr w:type="spellEnd"/>
      <w:r w:rsidRPr="003249D9">
        <w:rPr>
          <w:rFonts w:asciiTheme="minorHAnsi" w:hAnsiTheme="minorHAnsi"/>
        </w:rPr>
        <w:t xml:space="preserve"> </w:t>
      </w:r>
      <w:proofErr w:type="spellStart"/>
      <w:r w:rsidRPr="003249D9">
        <w:rPr>
          <w:rFonts w:asciiTheme="minorHAnsi" w:hAnsiTheme="minorHAnsi"/>
        </w:rPr>
        <w:t>Chamber</w:t>
      </w:r>
      <w:proofErr w:type="spellEnd"/>
      <w:r w:rsidRPr="003249D9">
        <w:rPr>
          <w:rFonts w:asciiTheme="minorHAnsi" w:hAnsiTheme="minorHAnsi"/>
        </w:rPr>
        <w:t xml:space="preserve"> of </w:t>
      </w:r>
      <w:proofErr w:type="spellStart"/>
      <w:r w:rsidRPr="003249D9">
        <w:rPr>
          <w:rFonts w:asciiTheme="minorHAnsi" w:hAnsiTheme="minorHAnsi"/>
        </w:rPr>
        <w:t>Commerce</w:t>
      </w:r>
      <w:proofErr w:type="spellEnd"/>
      <w:r w:rsidRPr="003249D9">
        <w:rPr>
          <w:rFonts w:asciiTheme="minorHAnsi" w:hAnsiTheme="minorHAnsi"/>
        </w:rPr>
        <w:t xml:space="preserve"> and </w:t>
      </w:r>
      <w:proofErr w:type="spellStart"/>
      <w:r w:rsidRPr="003249D9">
        <w:rPr>
          <w:rFonts w:asciiTheme="minorHAnsi" w:hAnsiTheme="minorHAnsi"/>
        </w:rPr>
        <w:t>Industry</w:t>
      </w:r>
      <w:proofErr w:type="spellEnd"/>
      <w:r w:rsidRPr="003249D9">
        <w:rPr>
          <w:rFonts w:asciiTheme="minorHAnsi" w:hAnsiTheme="minorHAnsi"/>
        </w:rPr>
        <w:t>)</w:t>
      </w:r>
    </w:p>
    <w:p w:rsidR="00BF6ACB" w:rsidRPr="003249D9" w:rsidRDefault="00AB7CFF" w:rsidP="009A73FD">
      <w:pPr>
        <w:pStyle w:val="TASBullet2"/>
        <w:numPr>
          <w:ilvl w:val="1"/>
          <w:numId w:val="17"/>
        </w:numPr>
        <w:rPr>
          <w:rFonts w:asciiTheme="minorHAnsi" w:hAnsiTheme="minorHAnsi"/>
        </w:rPr>
      </w:pPr>
      <w:r w:rsidRPr="003249D9">
        <w:rPr>
          <w:rFonts w:asciiTheme="minorHAnsi" w:hAnsiTheme="minorHAnsi"/>
        </w:rPr>
        <w:t xml:space="preserve">Magyar Bírósági Végrehajtói Kamara </w:t>
      </w:r>
    </w:p>
    <w:p w:rsidR="00BF6ACB" w:rsidRPr="003249D9" w:rsidRDefault="00AB7CFF" w:rsidP="00BF6ACB">
      <w:pPr>
        <w:pStyle w:val="TASBullet2"/>
        <w:numPr>
          <w:ilvl w:val="0"/>
          <w:numId w:val="0"/>
        </w:numPr>
        <w:ind w:left="576"/>
        <w:rPr>
          <w:rFonts w:asciiTheme="minorHAnsi" w:hAnsiTheme="minorHAnsi"/>
        </w:rPr>
      </w:pPr>
      <w:r w:rsidRPr="003249D9">
        <w:rPr>
          <w:rFonts w:asciiTheme="minorHAnsi" w:hAnsiTheme="minorHAnsi"/>
        </w:rPr>
        <w:t>(</w:t>
      </w:r>
      <w:proofErr w:type="spellStart"/>
      <w:r w:rsidRPr="003249D9">
        <w:rPr>
          <w:rFonts w:asciiTheme="minorHAnsi" w:hAnsiTheme="minorHAnsi"/>
        </w:rPr>
        <w:t>Hungarian</w:t>
      </w:r>
      <w:proofErr w:type="spellEnd"/>
      <w:r w:rsidRPr="003249D9">
        <w:rPr>
          <w:rFonts w:asciiTheme="minorHAnsi" w:hAnsiTheme="minorHAnsi"/>
        </w:rPr>
        <w:t xml:space="preserve"> </w:t>
      </w:r>
      <w:proofErr w:type="spellStart"/>
      <w:r w:rsidRPr="003249D9">
        <w:rPr>
          <w:rFonts w:asciiTheme="minorHAnsi" w:hAnsiTheme="minorHAnsi"/>
        </w:rPr>
        <w:t>Chamber</w:t>
      </w:r>
      <w:proofErr w:type="spellEnd"/>
      <w:r w:rsidRPr="003249D9">
        <w:rPr>
          <w:rFonts w:asciiTheme="minorHAnsi" w:hAnsiTheme="minorHAnsi"/>
        </w:rPr>
        <w:t xml:space="preserve"> of </w:t>
      </w:r>
      <w:proofErr w:type="spellStart"/>
      <w:r w:rsidRPr="003249D9">
        <w:rPr>
          <w:rFonts w:asciiTheme="minorHAnsi" w:hAnsiTheme="minorHAnsi"/>
        </w:rPr>
        <w:t>Court</w:t>
      </w:r>
      <w:proofErr w:type="spellEnd"/>
      <w:r w:rsidRPr="003249D9">
        <w:rPr>
          <w:rFonts w:asciiTheme="minorHAnsi" w:hAnsiTheme="minorHAnsi"/>
        </w:rPr>
        <w:t xml:space="preserve"> </w:t>
      </w:r>
      <w:proofErr w:type="spellStart"/>
      <w:r w:rsidRPr="003249D9">
        <w:rPr>
          <w:rFonts w:asciiTheme="minorHAnsi" w:hAnsiTheme="minorHAnsi"/>
        </w:rPr>
        <w:t>Bailiffs</w:t>
      </w:r>
      <w:proofErr w:type="spellEnd"/>
      <w:r w:rsidRPr="003249D9">
        <w:rPr>
          <w:rFonts w:asciiTheme="minorHAnsi" w:hAnsiTheme="minorHAnsi"/>
        </w:rPr>
        <w:t>)</w:t>
      </w:r>
    </w:p>
    <w:p w:rsidR="00BF6ACB" w:rsidRPr="003249D9" w:rsidRDefault="00AB7CFF" w:rsidP="009A73FD">
      <w:pPr>
        <w:pStyle w:val="TASBullet2"/>
        <w:numPr>
          <w:ilvl w:val="1"/>
          <w:numId w:val="17"/>
        </w:numPr>
        <w:rPr>
          <w:rFonts w:asciiTheme="minorHAnsi" w:hAnsiTheme="minorHAnsi"/>
        </w:rPr>
      </w:pPr>
      <w:r w:rsidRPr="003249D9">
        <w:rPr>
          <w:rFonts w:asciiTheme="minorHAnsi" w:hAnsiTheme="minorHAnsi"/>
        </w:rPr>
        <w:t>A legnagyobb tapasztalattal rendelkező felszámoló bírókkal.</w:t>
      </w:r>
    </w:p>
    <w:p w:rsidR="00BF6ACB" w:rsidRPr="003249D9" w:rsidRDefault="00AB7CFF" w:rsidP="009A73FD">
      <w:pPr>
        <w:pStyle w:val="TASBullet1"/>
        <w:numPr>
          <w:ilvl w:val="0"/>
          <w:numId w:val="17"/>
        </w:numPr>
        <w:rPr>
          <w:rFonts w:asciiTheme="minorHAnsi" w:hAnsiTheme="minorHAnsi"/>
        </w:rPr>
      </w:pPr>
      <w:r w:rsidRPr="003249D9">
        <w:rPr>
          <w:rFonts w:asciiTheme="minorHAnsi" w:hAnsiTheme="minorHAnsi"/>
        </w:rPr>
        <w:t>Az alábbi információkat szereztük be az alábbi témában:</w:t>
      </w:r>
    </w:p>
    <w:p w:rsidR="00BF6ACB" w:rsidRPr="003249D9" w:rsidRDefault="00AB7CFF" w:rsidP="009A73FD">
      <w:pPr>
        <w:pStyle w:val="TASBullet2"/>
        <w:numPr>
          <w:ilvl w:val="1"/>
          <w:numId w:val="17"/>
        </w:numPr>
        <w:rPr>
          <w:rFonts w:asciiTheme="minorHAnsi" w:hAnsiTheme="minorHAnsi"/>
        </w:rPr>
      </w:pPr>
      <w:r w:rsidRPr="003249D9">
        <w:rPr>
          <w:rFonts w:asciiTheme="minorHAnsi" w:hAnsiTheme="minorHAnsi"/>
        </w:rPr>
        <w:t xml:space="preserve">a jelenlegi magyarországi NPL helyzet hátterét és banki vonatkozásait, </w:t>
      </w:r>
    </w:p>
    <w:p w:rsidR="00BF6ACB" w:rsidRPr="003249D9" w:rsidRDefault="00AB7CFF" w:rsidP="009A73FD">
      <w:pPr>
        <w:pStyle w:val="TASBullet2"/>
        <w:numPr>
          <w:ilvl w:val="1"/>
          <w:numId w:val="17"/>
        </w:numPr>
        <w:rPr>
          <w:rFonts w:asciiTheme="minorHAnsi" w:hAnsiTheme="minorHAnsi"/>
        </w:rPr>
      </w:pPr>
      <w:r w:rsidRPr="003249D9">
        <w:rPr>
          <w:rFonts w:asciiTheme="minorHAnsi" w:hAnsiTheme="minorHAnsi"/>
        </w:rPr>
        <w:t xml:space="preserve">a bankoknak az </w:t>
      </w:r>
      <w:proofErr w:type="spellStart"/>
      <w:r w:rsidRPr="003249D9">
        <w:rPr>
          <w:rFonts w:asciiTheme="minorHAnsi" w:hAnsiTheme="minorHAnsi"/>
        </w:rPr>
        <w:t>NPL-ek</w:t>
      </w:r>
      <w:proofErr w:type="spellEnd"/>
      <w:r w:rsidRPr="003249D9">
        <w:rPr>
          <w:rFonts w:asciiTheme="minorHAnsi" w:hAnsiTheme="minorHAnsi"/>
        </w:rPr>
        <w:t xml:space="preserve"> kezelése során szerzett tapasztalatait és az alkalmazott </w:t>
      </w:r>
      <w:proofErr w:type="spellStart"/>
      <w:r w:rsidRPr="003249D9">
        <w:rPr>
          <w:rFonts w:asciiTheme="minorHAnsi" w:hAnsiTheme="minorHAnsi"/>
        </w:rPr>
        <w:t>restrukturálási</w:t>
      </w:r>
      <w:proofErr w:type="spellEnd"/>
      <w:r w:rsidRPr="003249D9">
        <w:rPr>
          <w:rFonts w:asciiTheme="minorHAnsi" w:hAnsiTheme="minorHAnsi"/>
        </w:rPr>
        <w:t xml:space="preserve"> intézkedéseket, </w:t>
      </w:r>
    </w:p>
    <w:p w:rsidR="00BF6ACB" w:rsidRPr="003249D9" w:rsidRDefault="00AB7CFF" w:rsidP="009A73FD">
      <w:pPr>
        <w:pStyle w:val="TASBullet2"/>
        <w:numPr>
          <w:ilvl w:val="1"/>
          <w:numId w:val="17"/>
        </w:numPr>
        <w:rPr>
          <w:rFonts w:asciiTheme="minorHAnsi" w:hAnsiTheme="minorHAnsi"/>
        </w:rPr>
      </w:pPr>
      <w:r w:rsidRPr="003249D9">
        <w:rPr>
          <w:rFonts w:asciiTheme="minorHAnsi" w:hAnsiTheme="minorHAnsi"/>
        </w:rPr>
        <w:t xml:space="preserve">a leggyakrabban alkalmazott pénzügyi, jogi és adó ügyek, amelyekkel a bankok szembesültek és akadályozták az NPL rendezését, </w:t>
      </w:r>
    </w:p>
    <w:p w:rsidR="00BF6ACB" w:rsidRPr="003249D9" w:rsidRDefault="00AB7CFF" w:rsidP="009A73FD">
      <w:pPr>
        <w:pStyle w:val="TASBullet2"/>
        <w:numPr>
          <w:ilvl w:val="1"/>
          <w:numId w:val="17"/>
        </w:numPr>
        <w:rPr>
          <w:rFonts w:asciiTheme="minorHAnsi" w:hAnsiTheme="minorHAnsi"/>
        </w:rPr>
      </w:pPr>
      <w:r w:rsidRPr="003249D9">
        <w:rPr>
          <w:rFonts w:asciiTheme="minorHAnsi" w:hAnsiTheme="minorHAnsi"/>
        </w:rPr>
        <w:t xml:space="preserve">az érdekelt felek véleményét a bíróságon kívüli felszámolás előtti </w:t>
      </w:r>
      <w:proofErr w:type="spellStart"/>
      <w:r w:rsidRPr="003249D9">
        <w:rPr>
          <w:rFonts w:asciiTheme="minorHAnsi" w:hAnsiTheme="minorHAnsi"/>
        </w:rPr>
        <w:t>restrukturálási</w:t>
      </w:r>
      <w:proofErr w:type="spellEnd"/>
      <w:r w:rsidRPr="003249D9">
        <w:rPr>
          <w:rFonts w:asciiTheme="minorHAnsi" w:hAnsiTheme="minorHAnsi"/>
        </w:rPr>
        <w:t xml:space="preserve"> eljárások megvalósíthatóságáról Magyarországon, valamint </w:t>
      </w:r>
    </w:p>
    <w:p w:rsidR="00BF6ACB" w:rsidRPr="003249D9" w:rsidRDefault="00AB7CFF" w:rsidP="009A73FD">
      <w:pPr>
        <w:pStyle w:val="TASBullet2"/>
        <w:numPr>
          <w:ilvl w:val="1"/>
          <w:numId w:val="17"/>
        </w:numPr>
        <w:rPr>
          <w:rFonts w:asciiTheme="minorHAnsi" w:hAnsiTheme="minorHAnsi"/>
        </w:rPr>
      </w:pPr>
      <w:r w:rsidRPr="003249D9">
        <w:rPr>
          <w:rFonts w:asciiTheme="minorHAnsi" w:hAnsiTheme="minorHAnsi"/>
        </w:rPr>
        <w:t>a magyar végrehajtási és felszámolási eljárások hatékonyságának növelésére tett javaslatokat.</w:t>
      </w:r>
    </w:p>
    <w:p w:rsidR="00BF6ACB" w:rsidRPr="003249D9" w:rsidRDefault="00BF6ACB" w:rsidP="00BF6ACB">
      <w:pPr>
        <w:pStyle w:val="TASBodytext"/>
        <w:rPr>
          <w:rFonts w:asciiTheme="minorHAnsi" w:hAnsiTheme="minorHAnsi"/>
        </w:rPr>
      </w:pPr>
    </w:p>
    <w:p w:rsidR="00BF6ACB" w:rsidRPr="003249D9" w:rsidRDefault="00AB7CFF" w:rsidP="00BF6ACB">
      <w:pPr>
        <w:pStyle w:val="TASBullet1"/>
        <w:rPr>
          <w:rFonts w:asciiTheme="minorHAnsi" w:hAnsiTheme="minorHAnsi"/>
        </w:rPr>
      </w:pPr>
      <w:r w:rsidRPr="003249D9">
        <w:rPr>
          <w:rFonts w:asciiTheme="minorHAnsi" w:hAnsiTheme="minorHAnsi"/>
        </w:rPr>
        <w:t xml:space="preserve">A találkozók előtt az EBRD az EY és a White &amp; </w:t>
      </w:r>
      <w:proofErr w:type="spellStart"/>
      <w:r w:rsidRPr="003249D9">
        <w:rPr>
          <w:rFonts w:asciiTheme="minorHAnsi" w:hAnsiTheme="minorHAnsi"/>
        </w:rPr>
        <w:t>Case</w:t>
      </w:r>
      <w:proofErr w:type="spellEnd"/>
      <w:r w:rsidRPr="003249D9">
        <w:rPr>
          <w:rFonts w:asciiTheme="minorHAnsi" w:hAnsiTheme="minorHAnsi"/>
        </w:rPr>
        <w:t xml:space="preserve"> nevében bemutatkozó levelet küldött a bankoknak, amely egy, a kezdeményezésről szóló tájékoztatót és egy kérdőívet („D” melléklet) tartalmazott. A kérdések listája mellett a bankokat arra is megkérték, hogy névtelenül és a banktitokról szóló rendelkezések által megengedett mértékig említsenek konkrét </w:t>
      </w:r>
      <w:r w:rsidRPr="003249D9">
        <w:rPr>
          <w:rFonts w:asciiTheme="minorHAnsi" w:hAnsiTheme="minorHAnsi"/>
        </w:rPr>
        <w:lastRenderedPageBreak/>
        <w:t>példákat. Az interjúk során kapott válaszok biztos alapot képeztek jelentésünk elkészítéséhez, melyeket saját tapasztalatainkkal egészítettünk ki.</w:t>
      </w:r>
    </w:p>
    <w:p w:rsidR="00BF6ACB" w:rsidRPr="003249D9" w:rsidRDefault="00AB7CFF" w:rsidP="00BF6ACB">
      <w:pPr>
        <w:pStyle w:val="TASBullet1"/>
        <w:rPr>
          <w:rFonts w:asciiTheme="minorHAnsi" w:hAnsiTheme="minorHAnsi"/>
        </w:rPr>
      </w:pPr>
      <w:r w:rsidRPr="003249D9">
        <w:rPr>
          <w:rFonts w:asciiTheme="minorHAnsi" w:hAnsiTheme="minorHAnsi"/>
        </w:rPr>
        <w:t xml:space="preserve">Az EY a jelentésben tárgyalt pénzügyi és adóügyi kérdések hátteréről és azokkal kapcsolatos javaslatokról, míg a White &amp; </w:t>
      </w:r>
      <w:proofErr w:type="spellStart"/>
      <w:r w:rsidRPr="003249D9">
        <w:rPr>
          <w:rFonts w:asciiTheme="minorHAnsi" w:hAnsiTheme="minorHAnsi"/>
        </w:rPr>
        <w:t>Case</w:t>
      </w:r>
      <w:proofErr w:type="spellEnd"/>
      <w:r w:rsidRPr="003249D9">
        <w:rPr>
          <w:rFonts w:asciiTheme="minorHAnsi" w:hAnsiTheme="minorHAnsi"/>
        </w:rPr>
        <w:t xml:space="preserve"> a jogi és szabályozói keretről készített beszámolót. A vizsgálat témakörökkel kapcsolatos kérdéseket és észrevételeket a megfelelő félhez kell eljuttatni.</w:t>
      </w:r>
    </w:p>
    <w:p w:rsidR="00BF6ACB" w:rsidRPr="003249D9" w:rsidRDefault="00BF6ACB" w:rsidP="00BF6ACB">
      <w:pPr>
        <w:pStyle w:val="TASBullet1"/>
        <w:numPr>
          <w:ilvl w:val="0"/>
          <w:numId w:val="0"/>
        </w:numPr>
        <w:ind w:left="288"/>
        <w:rPr>
          <w:rFonts w:asciiTheme="minorHAnsi" w:hAnsiTheme="minorHAnsi"/>
        </w:rPr>
        <w:sectPr w:rsidR="00BF6ACB" w:rsidRPr="003249D9" w:rsidSect="001C5959">
          <w:headerReference w:type="default" r:id="rId32"/>
          <w:footerReference w:type="default" r:id="rId33"/>
          <w:pgSz w:w="11907" w:h="16839" w:code="9"/>
          <w:pgMar w:top="2304" w:right="792" w:bottom="1022" w:left="792" w:header="605" w:footer="706" w:gutter="0"/>
          <w:cols w:space="720"/>
          <w:docGrid w:linePitch="360"/>
        </w:sectPr>
      </w:pPr>
    </w:p>
    <w:p w:rsidR="00BF6ACB" w:rsidRPr="003249D9" w:rsidRDefault="00AB7CFF" w:rsidP="00BF6ACB">
      <w:pPr>
        <w:pStyle w:val="TASSectiontitle"/>
        <w:framePr w:wrap="around"/>
        <w:rPr>
          <w:rFonts w:asciiTheme="minorHAnsi" w:hAnsiTheme="minorHAnsi"/>
        </w:rPr>
      </w:pPr>
      <w:bookmarkStart w:id="7" w:name="_Toc401154916"/>
      <w:bookmarkStart w:id="8" w:name="_Toc403750019"/>
      <w:r w:rsidRPr="003249D9">
        <w:rPr>
          <w:rFonts w:asciiTheme="minorHAnsi" w:hAnsiTheme="minorHAnsi"/>
        </w:rPr>
        <w:lastRenderedPageBreak/>
        <w:t xml:space="preserve">A </w:t>
      </w:r>
      <w:proofErr w:type="spellStart"/>
      <w:r w:rsidRPr="003249D9">
        <w:rPr>
          <w:rFonts w:asciiTheme="minorHAnsi" w:hAnsiTheme="minorHAnsi"/>
        </w:rPr>
        <w:t>nemteljesítő</w:t>
      </w:r>
      <w:proofErr w:type="spellEnd"/>
      <w:r w:rsidRPr="003249D9">
        <w:rPr>
          <w:rFonts w:asciiTheme="minorHAnsi" w:hAnsiTheme="minorHAnsi"/>
        </w:rPr>
        <w:t xml:space="preserve"> hitelek jelentette helyzet elemzése</w:t>
      </w:r>
      <w:bookmarkEnd w:id="7"/>
      <w:bookmarkEnd w:id="8"/>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sdt>
      <w:sdtPr>
        <w:rPr>
          <w:rFonts w:asciiTheme="minorHAnsi" w:hAnsiTheme="minorHAnsi"/>
        </w:rPr>
        <w:alias w:val="TAS Subsection TOC"/>
        <w:tag w:val="TASSubsectionTOC"/>
        <w:id w:val="317620467"/>
      </w:sdtPr>
      <w:sdtContent>
        <w:p w:rsidR="00BF6ACB" w:rsidRPr="003249D9" w:rsidRDefault="00AB7CFF" w:rsidP="009A73FD">
          <w:pPr>
            <w:pStyle w:val="TASTOC3"/>
            <w:numPr>
              <w:ilvl w:val="0"/>
              <w:numId w:val="23"/>
            </w:numPr>
            <w:rPr>
              <w:rFonts w:asciiTheme="minorHAnsi" w:hAnsiTheme="minorHAnsi"/>
            </w:rPr>
          </w:pPr>
          <w:r w:rsidRPr="003249D9">
            <w:rPr>
              <w:rFonts w:asciiTheme="minorHAnsi" w:hAnsiTheme="minorHAnsi"/>
            </w:rPr>
            <w:t xml:space="preserve">A jelenlegi </w:t>
          </w:r>
          <w:proofErr w:type="spellStart"/>
          <w:r w:rsidRPr="003249D9">
            <w:rPr>
              <w:rFonts w:asciiTheme="minorHAnsi" w:hAnsiTheme="minorHAnsi"/>
            </w:rPr>
            <w:t>NPL-ek</w:t>
          </w:r>
          <w:proofErr w:type="spellEnd"/>
          <w:r w:rsidRPr="003249D9">
            <w:rPr>
              <w:rFonts w:asciiTheme="minorHAnsi" w:hAnsiTheme="minorHAnsi"/>
            </w:rPr>
            <w:t xml:space="preserve"> jelentette helyzetet kiváltó legfőbb okok</w:t>
          </w:r>
        </w:p>
        <w:p w:rsidR="00BF6ACB" w:rsidRPr="003249D9" w:rsidRDefault="00AB7CFF" w:rsidP="00BF6ACB">
          <w:pPr>
            <w:pStyle w:val="TASTOC3"/>
            <w:rPr>
              <w:rFonts w:asciiTheme="minorHAnsi" w:hAnsiTheme="minorHAnsi"/>
            </w:rPr>
          </w:pPr>
          <w:r w:rsidRPr="003249D9">
            <w:rPr>
              <w:rFonts w:asciiTheme="minorHAnsi" w:hAnsiTheme="minorHAnsi"/>
            </w:rPr>
            <w:t xml:space="preserve">Az </w:t>
          </w:r>
          <w:proofErr w:type="spellStart"/>
          <w:r w:rsidRPr="003249D9">
            <w:rPr>
              <w:rFonts w:asciiTheme="minorHAnsi" w:hAnsiTheme="minorHAnsi"/>
            </w:rPr>
            <w:t>NPL-portfoliók</w:t>
          </w:r>
          <w:proofErr w:type="spellEnd"/>
          <w:r w:rsidRPr="003249D9">
            <w:rPr>
              <w:rFonts w:asciiTheme="minorHAnsi" w:hAnsiTheme="minorHAnsi"/>
            </w:rPr>
            <w:t xml:space="preserve"> kezelésének meghatározó tényezői</w:t>
          </w:r>
        </w:p>
        <w:p w:rsidR="00BF6ACB" w:rsidRPr="003249D9" w:rsidRDefault="00AB7CFF" w:rsidP="00BF6ACB">
          <w:pPr>
            <w:pStyle w:val="TASTOC3"/>
            <w:rPr>
              <w:rFonts w:asciiTheme="minorHAnsi" w:hAnsiTheme="minorHAnsi"/>
            </w:rPr>
          </w:pPr>
          <w:r w:rsidRPr="003249D9">
            <w:rPr>
              <w:rFonts w:asciiTheme="minorHAnsi" w:hAnsiTheme="minorHAnsi"/>
            </w:rPr>
            <w:t>A változás előtt álló legnagyobb akadályok</w:t>
          </w:r>
        </w:p>
        <w:p w:rsidR="00BF6ACB" w:rsidRPr="003249D9" w:rsidRDefault="00AB7CFF" w:rsidP="00BF6ACB">
          <w:pPr>
            <w:pStyle w:val="TASTOC3"/>
            <w:rPr>
              <w:rFonts w:asciiTheme="minorHAnsi" w:hAnsiTheme="minorHAnsi"/>
            </w:rPr>
          </w:pPr>
          <w:r w:rsidRPr="003249D9">
            <w:rPr>
              <w:rFonts w:asciiTheme="minorHAnsi" w:hAnsiTheme="minorHAnsi"/>
            </w:rPr>
            <w:t xml:space="preserve">Az </w:t>
          </w:r>
          <w:proofErr w:type="spellStart"/>
          <w:r w:rsidRPr="003249D9">
            <w:rPr>
              <w:rFonts w:asciiTheme="minorHAnsi" w:hAnsiTheme="minorHAnsi"/>
            </w:rPr>
            <w:t>NPL-ek</w:t>
          </w:r>
          <w:proofErr w:type="spellEnd"/>
          <w:r w:rsidRPr="003249D9">
            <w:rPr>
              <w:rFonts w:asciiTheme="minorHAnsi" w:hAnsiTheme="minorHAnsi"/>
            </w:rPr>
            <w:t xml:space="preserve"> átruházásának kérdésköre</w:t>
          </w:r>
        </w:p>
      </w:sdtContent>
    </w:sdt>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sectPr w:rsidR="00BF6ACB" w:rsidRPr="003249D9" w:rsidSect="00BF6ACB">
          <w:headerReference w:type="default" r:id="rId34"/>
          <w:footerReference w:type="default" r:id="rId35"/>
          <w:headerReference w:type="first" r:id="rId36"/>
          <w:footerReference w:type="first" r:id="rId37"/>
          <w:pgSz w:w="11906" w:h="16838" w:code="9"/>
          <w:pgMar w:top="2304" w:right="792" w:bottom="792" w:left="792" w:header="605" w:footer="706" w:gutter="0"/>
          <w:cols w:space="708"/>
          <w:docGrid w:linePitch="360"/>
        </w:sectPr>
      </w:pPr>
    </w:p>
    <w:p w:rsidR="00BF6ACB" w:rsidRPr="003249D9" w:rsidRDefault="00AB7CFF" w:rsidP="00BF6ACB">
      <w:pPr>
        <w:pStyle w:val="TASSubsection"/>
        <w:framePr w:wrap="around"/>
        <w:rPr>
          <w:rFonts w:asciiTheme="minorHAnsi" w:hAnsiTheme="minorHAnsi"/>
        </w:rPr>
      </w:pPr>
      <w:bookmarkStart w:id="9" w:name="_Toc401154917"/>
      <w:bookmarkStart w:id="10" w:name="_Toc403750020"/>
      <w:r w:rsidRPr="003249D9">
        <w:rPr>
          <w:rFonts w:asciiTheme="minorHAnsi" w:hAnsiTheme="minorHAnsi"/>
        </w:rPr>
        <w:lastRenderedPageBreak/>
        <w:t xml:space="preserve">A jelenlegi </w:t>
      </w:r>
      <w:proofErr w:type="spellStart"/>
      <w:r w:rsidRPr="003249D9">
        <w:rPr>
          <w:rFonts w:asciiTheme="minorHAnsi" w:hAnsiTheme="minorHAnsi"/>
        </w:rPr>
        <w:t>NPL-ek</w:t>
      </w:r>
      <w:proofErr w:type="spellEnd"/>
      <w:r w:rsidRPr="003249D9">
        <w:rPr>
          <w:rFonts w:asciiTheme="minorHAnsi" w:hAnsiTheme="minorHAnsi"/>
        </w:rPr>
        <w:t xml:space="preserve"> jelentette helyzetet kiváltó legfőbb okok</w:t>
      </w:r>
      <w:bookmarkEnd w:id="9"/>
      <w:bookmarkEnd w:id="10"/>
    </w:p>
    <w:p w:rsidR="005F2808" w:rsidRPr="003249D9" w:rsidRDefault="005F2808" w:rsidP="005F2808">
      <w:pPr>
        <w:pStyle w:val="TASStraplinefirst"/>
        <w:framePr w:wrap="notBeside"/>
        <w:rPr>
          <w:rFonts w:asciiTheme="minorHAnsi" w:hAnsiTheme="minorHAnsi"/>
        </w:rPr>
      </w:pPr>
      <w:r w:rsidRPr="003249D9">
        <w:rPr>
          <w:rFonts w:asciiTheme="minorHAnsi" w:hAnsiTheme="minorHAnsi"/>
        </w:rPr>
        <w:t>A magyar bankszektor áttekintése</w:t>
      </w:r>
    </w:p>
    <w:p w:rsidR="005F2808" w:rsidRPr="003249D9" w:rsidRDefault="005F2808" w:rsidP="005F2808">
      <w:pPr>
        <w:pStyle w:val="TASTextheading1"/>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774976" behindDoc="0" locked="0" layoutInCell="1" allowOverlap="1" wp14:anchorId="2A6634C4" wp14:editId="2E0316D3">
                <wp:simplePos x="0" y="0"/>
                <wp:positionH relativeFrom="page">
                  <wp:posOffset>502920</wp:posOffset>
                </wp:positionH>
                <wp:positionV relativeFrom="margin">
                  <wp:posOffset>68580</wp:posOffset>
                </wp:positionV>
                <wp:extent cx="3081655" cy="2813685"/>
                <wp:effectExtent l="0" t="0" r="4445" b="5715"/>
                <wp:wrapSquare wrapText="bothSides"/>
                <wp:docPr id="481" name="f1070f6dbf5e4e9f9cc0657668387d1f"/>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1655" cy="281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10B" w:rsidRDefault="002D610B" w:rsidP="005F2808">
                            <w:pPr>
                              <w:pStyle w:val="TASTabletitleborder"/>
                              <w:spacing w:after="20"/>
                            </w:pPr>
                            <w:r>
                              <w:t>Teljes vállalati hitelportfolió valutánként Dec08A-Dec13A</w:t>
                            </w:r>
                          </w:p>
                          <w:p w:rsidR="002D610B" w:rsidRDefault="002D610B" w:rsidP="005F2808">
                            <w:pPr>
                              <w:pStyle w:val="TASTablesource"/>
                            </w:pPr>
                            <w:r>
                              <w:t>Forrás: Az MNB stabilitási jelentése</w:t>
                            </w:r>
                          </w:p>
                          <w:p w:rsidR="002D610B" w:rsidRDefault="002D610B" w:rsidP="005F2808">
                            <w:pPr>
                              <w:pStyle w:val="TASTablenotesheading"/>
                            </w:pPr>
                            <w:r>
                              <w:rPr>
                                <w:noProof/>
                                <w:lang w:bidi="ar-SA"/>
                              </w:rPr>
                              <w:drawing>
                                <wp:inline distT="0" distB="0" distL="0" distR="0" wp14:anchorId="6EC70132" wp14:editId="6385CD21">
                                  <wp:extent cx="3087409" cy="2523771"/>
                                  <wp:effectExtent l="0" t="0" r="0" b="0"/>
                                  <wp:docPr id="5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87409" cy="2523771"/>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f1070f6dbf5e4e9f9cc0657668387d1f" o:spid="_x0000_s1031" style="position:absolute;margin-left:39.6pt;margin-top:5.4pt;width:242.65pt;height:221.55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" filled="f" stroked="f">
                <v:textbox style="mso-fit-shape-to-text:t" inset="0,0,0,0">
                  <w:txbxContent>
                    <w:p w:rsidR="002D610B" w:rsidRDefault="002D610B" w:rsidP="005F2808">
                      <w:pPr>
                        <w:pStyle w:val="TASTabletitleborder"/>
                        <w:spacing w:after="20"/>
                      </w:pPr>
                      <w:r>
                        <w:t>Teljes vállalati hitelportfolió valutánként Dec08A-Dec13A</w:t>
                      </w:r>
                    </w:p>
                    <w:p w:rsidR="002D610B" w:rsidRDefault="002D610B" w:rsidP="005F2808">
                      <w:pPr>
                        <w:pStyle w:val="TASTablesource"/>
                      </w:pPr>
                      <w:r>
                        <w:t>Forrás: Az MNB stabilitási jelentése</w:t>
                      </w:r>
                    </w:p>
                    <w:p w:rsidR="002D610B" w:rsidRDefault="002D610B" w:rsidP="005F2808">
                      <w:pPr>
                        <w:pStyle w:val="TASTablenotesheading"/>
                      </w:pPr>
                      <w:r>
                        <w:rPr>
                          <w:noProof/>
                          <w:lang w:bidi="ar-SA"/>
                        </w:rPr>
                        <w:drawing>
                          <wp:inline distT="0" distB="0" distL="0" distR="0" wp14:anchorId="6EC70132" wp14:editId="6385CD21">
                            <wp:extent cx="3087409" cy="2523771"/>
                            <wp:effectExtent l="0" t="0" r="0" b="0"/>
                            <wp:docPr id="5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87409" cy="2523771"/>
                                    </a:xfrm>
                                    <a:prstGeom prst="rect">
                                      <a:avLst/>
                                    </a:prstGeom>
                                    <a:noFill/>
                                    <a:ln>
                                      <a:noFill/>
                                    </a:ln>
                                  </pic:spPr>
                                </pic:pic>
                              </a:graphicData>
                            </a:graphic>
                          </wp:inline>
                        </w:drawing>
                      </w:r>
                    </w:p>
                  </w:txbxContent>
                </v:textbox>
                <w10:wrap type="square" anchorx="page" anchory="margin"/>
              </v:rect>
            </w:pict>
          </mc:Fallback>
        </mc:AlternateContent>
      </w:r>
      <w:r w:rsidRPr="003249D9">
        <w:rPr>
          <w:rFonts w:asciiTheme="minorHAnsi" w:hAnsiTheme="minorHAnsi"/>
        </w:rPr>
        <w:t>A bankszektor áttekintése</w:t>
      </w:r>
    </w:p>
    <w:p w:rsidR="005F2808" w:rsidRPr="003249D9" w:rsidRDefault="005F2808" w:rsidP="005F2808">
      <w:pPr>
        <w:pStyle w:val="TASTextheading2"/>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776000" behindDoc="0" locked="0" layoutInCell="1" allowOverlap="1" wp14:anchorId="478F6B67" wp14:editId="64182495">
                <wp:simplePos x="0" y="0"/>
                <wp:positionH relativeFrom="column">
                  <wp:posOffset>0</wp:posOffset>
                </wp:positionH>
                <wp:positionV relativeFrom="paragraph">
                  <wp:posOffset>0</wp:posOffset>
                </wp:positionV>
                <wp:extent cx="635000" cy="635000"/>
                <wp:effectExtent l="0" t="0" r="0" b="0"/>
                <wp:wrapNone/>
                <wp:docPr id="482" name="e1c5e427ad134554aa08e50863da18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rsidR="002D610B" w:rsidRDefault="002D610B" w:rsidP="005F28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e1c5e427ad134554aa08e50863da1834" o:spid="_x0000_s1032" style="position:absolute;margin-left:0;margin-top:0;width:50pt;height:50pt;z-index:251776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">
                <o:lock v:ext="edit" selection="t"/>
                <v:textbox>
                  <w:txbxContent>
                    <w:p w:rsidR="002D610B" w:rsidRDefault="002D610B" w:rsidP="005F2808">
                      <w:pPr>
                        <w:jc w:val="center"/>
                      </w:pPr>
                    </w:p>
                  </w:txbxContent>
                </v:textbox>
              </v:rect>
            </w:pict>
          </mc:Fallback>
        </mc:AlternateContent>
      </w:r>
      <w:r w:rsidRPr="003249D9">
        <w:rPr>
          <w:rFonts w:asciiTheme="minorHAnsi" w:hAnsiTheme="minorHAnsi"/>
        </w:rPr>
        <w:t>Vállalati hitelportfolió áttekintése</w:t>
      </w:r>
    </w:p>
    <w:p w:rsidR="005F2808" w:rsidRPr="003249D9" w:rsidRDefault="005F2808" w:rsidP="005F2808">
      <w:pPr>
        <w:pStyle w:val="TASBullet1"/>
        <w:ind w:left="90"/>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777024" behindDoc="0" locked="0" layoutInCell="1" allowOverlap="1" wp14:anchorId="0D4063FD" wp14:editId="7A489E0C">
                <wp:simplePos x="0" y="0"/>
                <wp:positionH relativeFrom="column">
                  <wp:posOffset>0</wp:posOffset>
                </wp:positionH>
                <wp:positionV relativeFrom="paragraph">
                  <wp:posOffset>0</wp:posOffset>
                </wp:positionV>
                <wp:extent cx="635000" cy="635000"/>
                <wp:effectExtent l="0" t="0" r="0" b="0"/>
                <wp:wrapNone/>
                <wp:docPr id="483" name="596bda7532664279bcdd83d22001780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rsidR="002D610B" w:rsidRDefault="002D610B" w:rsidP="005F28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596bda7532664279bcdd83d220017807" o:spid="_x0000_s1033" style="position:absolute;left:0;text-align:left;margin-left:0;margin-top:0;width:50pt;height:50pt;z-index:251777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">
                <o:lock v:ext="edit" selection="t"/>
                <v:textbox>
                  <w:txbxContent>
                    <w:p w:rsidR="002D610B" w:rsidRDefault="002D610B" w:rsidP="005F2808">
                      <w:pPr>
                        <w:jc w:val="center"/>
                      </w:pPr>
                    </w:p>
                  </w:txbxContent>
                </v:textbox>
              </v:rect>
            </w:pict>
          </mc:Fallback>
        </mc:AlternateContent>
      </w:r>
      <w:r w:rsidRPr="003249D9">
        <w:rPr>
          <w:rFonts w:asciiTheme="minorHAnsi" w:hAnsiTheme="minorHAnsi"/>
        </w:rPr>
        <w:t xml:space="preserve">A bal oldali táblázatban mutatottak szerint a teljes vállalati hitelportfolió 19,6%-kal csökkent, 7 463 milliárd forintról 5 999 milliárd forintra Dec09A és Dec13A között. </w:t>
      </w:r>
    </w:p>
    <w:p w:rsidR="005F2808" w:rsidRPr="003249D9" w:rsidRDefault="005F2808" w:rsidP="005F2808">
      <w:pPr>
        <w:pStyle w:val="TASBullet1"/>
        <w:ind w:left="90"/>
        <w:rPr>
          <w:rFonts w:asciiTheme="minorHAnsi" w:hAnsiTheme="minorHAnsi"/>
        </w:rPr>
      </w:pPr>
      <w:r w:rsidRPr="003249D9">
        <w:rPr>
          <w:rFonts w:asciiTheme="minorHAnsi" w:hAnsiTheme="minorHAnsi"/>
        </w:rPr>
        <w:t>A FY08A és FY13A között időszakban a devizában denominált hitelek kb. 60%-ról 50%-ra csökkentek, azonban eltérő mértékben. Amíg az USD-ben denominált hitelek 82,8%-kal, a CHF-ben denominált hitelek pedig 60%-kal meredeken estek vissza, addig az EUR-ban kifejezett hitelek mindössze 15,5%-os visszaesést mutattak.</w:t>
      </w:r>
    </w:p>
    <w:p w:rsidR="005F2808" w:rsidRPr="003249D9" w:rsidRDefault="005F2808" w:rsidP="005F2808">
      <w:pPr>
        <w:pStyle w:val="TASBullet1"/>
        <w:ind w:left="90"/>
        <w:rPr>
          <w:rFonts w:asciiTheme="minorHAnsi" w:hAnsiTheme="minorHAnsi"/>
        </w:rPr>
      </w:pPr>
      <w:r w:rsidRPr="003249D9">
        <w:rPr>
          <w:rFonts w:asciiTheme="minorHAnsi" w:hAnsiTheme="minorHAnsi"/>
        </w:rPr>
        <w:t xml:space="preserve">A HUF-ban denominált hitelek 3,7%-kal csökkentek Dec08A és Dec13A között, ami azt jelenti, hogy a hazai valuta jelentősége viszonylagosan nőtt a magyar vállalatok finanszírozási struktúrájában. Ez az átrendeződés a HUF jelentős gyengülésének tudható be, amely magasabb havi </w:t>
      </w:r>
      <w:proofErr w:type="spellStart"/>
      <w:r w:rsidRPr="003249D9">
        <w:rPr>
          <w:rFonts w:asciiTheme="minorHAnsi" w:hAnsiTheme="minorHAnsi"/>
        </w:rPr>
        <w:t>törlesztőrészletekhez</w:t>
      </w:r>
      <w:proofErr w:type="spellEnd"/>
      <w:r w:rsidRPr="003249D9">
        <w:rPr>
          <w:rFonts w:asciiTheme="minorHAnsi" w:hAnsiTheme="minorHAnsi"/>
        </w:rPr>
        <w:t xml:space="preserve"> vezetett az devizában denominált hitelek esetén.</w:t>
      </w:r>
    </w:p>
    <w:p w:rsidR="005F2808" w:rsidRPr="003249D9" w:rsidRDefault="005F2808" w:rsidP="005F2808">
      <w:pPr>
        <w:pStyle w:val="TASBullet1"/>
        <w:ind w:left="90"/>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778048" behindDoc="0" locked="0" layoutInCell="1" allowOverlap="1" wp14:anchorId="4EE43AF4" wp14:editId="24B68194">
                <wp:simplePos x="0" y="0"/>
                <wp:positionH relativeFrom="page">
                  <wp:posOffset>502920</wp:posOffset>
                </wp:positionH>
                <wp:positionV relativeFrom="margin">
                  <wp:posOffset>3133725</wp:posOffset>
                </wp:positionV>
                <wp:extent cx="3081655" cy="2807970"/>
                <wp:effectExtent l="0" t="0" r="4445" b="11430"/>
                <wp:wrapSquare wrapText="bothSides"/>
                <wp:docPr id="484" name="8bc84673894640d79f80dbc8f8eaa05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1655" cy="280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10B" w:rsidRDefault="002D610B" w:rsidP="005F2808">
                            <w:pPr>
                              <w:pStyle w:val="TASTabletitleborder"/>
                              <w:spacing w:after="20"/>
                            </w:pPr>
                            <w:r>
                              <w:t>FY08A-FY13A közötti éves átlag FX árfolyamok</w:t>
                            </w:r>
                          </w:p>
                          <w:p w:rsidR="002D610B" w:rsidRDefault="002D610B" w:rsidP="005F2808">
                            <w:pPr>
                              <w:pStyle w:val="TASTablesource"/>
                            </w:pPr>
                            <w:r>
                              <w:t>Forrás: Az MNB által jegyzett korábbi árfolyamok</w:t>
                            </w:r>
                          </w:p>
                          <w:p w:rsidR="002D610B" w:rsidRDefault="002D610B" w:rsidP="005F2808">
                            <w:pPr>
                              <w:pStyle w:val="TASTablenotesheading"/>
                            </w:pPr>
                            <w:r>
                              <w:rPr>
                                <w:noProof/>
                                <w:lang w:bidi="ar-SA"/>
                              </w:rPr>
                              <w:drawing>
                                <wp:inline distT="0" distB="0" distL="0" distR="0" wp14:anchorId="65E5A7F3" wp14:editId="3668FBDB">
                                  <wp:extent cx="3079910" cy="2517917"/>
                                  <wp:effectExtent l="0" t="0" r="0" b="0"/>
                                  <wp:docPr id="5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9910" cy="2517917"/>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8bc84673894640d79f80dbc8f8eaa05e" o:spid="_x0000_s1034" style="position:absolute;left:0;text-align:left;margin-left:39.6pt;margin-top:246.75pt;width:242.65pt;height:221.1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" filled="f" stroked="f">
                <v:textbox style="mso-fit-shape-to-text:t" inset="0,0,0,0">
                  <w:txbxContent>
                    <w:p w:rsidR="002D610B" w:rsidRDefault="002D610B" w:rsidP="005F2808">
                      <w:pPr>
                        <w:pStyle w:val="TASTabletitleborder"/>
                        <w:spacing w:after="20"/>
                      </w:pPr>
                      <w:r>
                        <w:t>FY08A-FY13A közötti éves átlag FX árfolyamok</w:t>
                      </w:r>
                    </w:p>
                    <w:p w:rsidR="002D610B" w:rsidRDefault="002D610B" w:rsidP="005F2808">
                      <w:pPr>
                        <w:pStyle w:val="TASTablesource"/>
                      </w:pPr>
                      <w:r>
                        <w:t>Forrás: Az MNB által jegyzett korábbi árfolyamok</w:t>
                      </w:r>
                    </w:p>
                    <w:p w:rsidR="002D610B" w:rsidRDefault="002D610B" w:rsidP="005F2808">
                      <w:pPr>
                        <w:pStyle w:val="TASTablenotesheading"/>
                      </w:pPr>
                      <w:r>
                        <w:rPr>
                          <w:noProof/>
                          <w:lang w:bidi="ar-SA"/>
                        </w:rPr>
                        <w:drawing>
                          <wp:inline distT="0" distB="0" distL="0" distR="0" wp14:anchorId="65E5A7F3" wp14:editId="3668FBDB">
                            <wp:extent cx="3079910" cy="2517917"/>
                            <wp:effectExtent l="0" t="0" r="0" b="0"/>
                            <wp:docPr id="5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9910" cy="2517917"/>
                                    </a:xfrm>
                                    <a:prstGeom prst="rect">
                                      <a:avLst/>
                                    </a:prstGeom>
                                    <a:noFill/>
                                    <a:ln>
                                      <a:noFill/>
                                    </a:ln>
                                  </pic:spPr>
                                </pic:pic>
                              </a:graphicData>
                            </a:graphic>
                          </wp:inline>
                        </w:drawing>
                      </w:r>
                    </w:p>
                  </w:txbxContent>
                </v:textbox>
                <w10:wrap type="square" anchorx="page" anchory="margin"/>
              </v:rect>
            </w:pict>
          </mc:Fallback>
        </mc:AlternateContent>
      </w:r>
      <w:r w:rsidRPr="003249D9">
        <w:rPr>
          <w:rFonts w:asciiTheme="minorHAnsi" w:hAnsiTheme="minorHAnsi"/>
        </w:rPr>
        <w:t xml:space="preserve">A HUF EUR-val, </w:t>
      </w:r>
      <w:proofErr w:type="spellStart"/>
      <w:r w:rsidRPr="003249D9">
        <w:rPr>
          <w:rFonts w:asciiTheme="minorHAnsi" w:hAnsiTheme="minorHAnsi"/>
        </w:rPr>
        <w:t>CHF-nal</w:t>
      </w:r>
      <w:proofErr w:type="spellEnd"/>
      <w:r w:rsidRPr="003249D9">
        <w:rPr>
          <w:rFonts w:asciiTheme="minorHAnsi" w:hAnsiTheme="minorHAnsi"/>
        </w:rPr>
        <w:t xml:space="preserve"> és </w:t>
      </w:r>
      <w:proofErr w:type="spellStart"/>
      <w:r w:rsidRPr="003249D9">
        <w:rPr>
          <w:rFonts w:asciiTheme="minorHAnsi" w:hAnsiTheme="minorHAnsi"/>
        </w:rPr>
        <w:t>USD-ral</w:t>
      </w:r>
      <w:proofErr w:type="spellEnd"/>
      <w:r w:rsidRPr="003249D9">
        <w:rPr>
          <w:rFonts w:asciiTheme="minorHAnsi" w:hAnsiTheme="minorHAnsi"/>
        </w:rPr>
        <w:t xml:space="preserve"> szembeni gyengülését az alábbi bal oldali táblázat mutatja be. Az éves átlag EUR, CHF és USD árfolyamok HUF-ban 18%-kal, 52%-kal, illetve 30%-kal nőttek FY08A és FY13A között. A HUF/EUR árfolyam viszonylag alacsony növekedése arra késztette a vállalatokat, hogy CHF- és USD-alapú hiteleiket EUR-alapú finanszírozásra váltsák fel, amely a vállalati hitelek átrendeződésében érhető tetten.</w:t>
      </w:r>
    </w:p>
    <w:p w:rsidR="005F2808" w:rsidRPr="003249D9" w:rsidRDefault="005F2808" w:rsidP="005F2808">
      <w:pPr>
        <w:pStyle w:val="TASTextheading2"/>
        <w:rPr>
          <w:rFonts w:asciiTheme="minorHAnsi" w:hAnsiTheme="minorHAnsi"/>
        </w:rPr>
      </w:pPr>
      <w:r w:rsidRPr="003249D9">
        <w:rPr>
          <w:rFonts w:asciiTheme="minorHAnsi" w:hAnsiTheme="minorHAnsi"/>
        </w:rPr>
        <w:t>Változások a szabályozói környezetben</w:t>
      </w:r>
    </w:p>
    <w:p w:rsidR="005F2808" w:rsidRPr="003249D9" w:rsidRDefault="005F2808" w:rsidP="005F2808">
      <w:pPr>
        <w:pStyle w:val="TASBullet1"/>
        <w:ind w:left="90"/>
        <w:rPr>
          <w:rFonts w:asciiTheme="minorHAnsi" w:hAnsiTheme="minorHAnsi"/>
        </w:rPr>
      </w:pPr>
      <w:r w:rsidRPr="003249D9">
        <w:rPr>
          <w:rFonts w:asciiTheme="minorHAnsi" w:hAnsiTheme="minorHAnsi"/>
        </w:rPr>
        <w:t>A magyar kormány az elmúlt években számos olyan intézkedést vezetett be, (1) amelyek a megnövekedett havi jelzálogrészletekkel küszködő fogyasztókat/háztartásokat hivatottak segíteni, (2) a kis- és középvállalkozások új befektetéseinek támogatását célozzák, valamint (3) az adóbevétel növelését szolgálják.</w:t>
      </w:r>
    </w:p>
    <w:p w:rsidR="005F2808" w:rsidRPr="003249D9" w:rsidRDefault="005F2808" w:rsidP="005F2808">
      <w:pPr>
        <w:pStyle w:val="TASBulletnumber"/>
        <w:numPr>
          <w:ilvl w:val="0"/>
          <w:numId w:val="24"/>
        </w:numPr>
        <w:tabs>
          <w:tab w:val="left" w:pos="270"/>
        </w:tabs>
        <w:ind w:left="270" w:firstLine="0"/>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790336" behindDoc="0" locked="0" layoutInCell="1" allowOverlap="1" wp14:anchorId="0895C391" wp14:editId="747C3903">
                <wp:simplePos x="0" y="0"/>
                <wp:positionH relativeFrom="page">
                  <wp:posOffset>724535</wp:posOffset>
                </wp:positionH>
                <wp:positionV relativeFrom="margin">
                  <wp:posOffset>5942330</wp:posOffset>
                </wp:positionV>
                <wp:extent cx="2942590" cy="2762250"/>
                <wp:effectExtent l="0" t="0" r="0" b="0"/>
                <wp:wrapSquare wrapText="bothSides"/>
                <wp:docPr id="485" name="Text Box 485"/>
                <wp:cNvGraphicFramePr/>
                <a:graphic xmlns:a="http://schemas.openxmlformats.org/drawingml/2006/main">
                  <a:graphicData uri="http://schemas.microsoft.com/office/word/2010/wordprocessingShape">
                    <wps:wsp>
                      <wps:cNvSpPr txBox="1"/>
                      <wps:spPr>
                        <a:xfrm>
                          <a:off x="0" y="0"/>
                          <a:ext cx="2942590" cy="276225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2D610B" w:rsidRDefault="002D610B" w:rsidP="005F2808">
                            <w:pPr>
                              <w:pStyle w:val="TASTabletitleborder"/>
                              <w:spacing w:before="20" w:after="20"/>
                            </w:pPr>
                            <w:r>
                              <w:t>ROE és ROA alakulása FY08A-FY13A között</w:t>
                            </w:r>
                          </w:p>
                          <w:p w:rsidR="002D610B" w:rsidRDefault="002D610B" w:rsidP="005F2808">
                            <w:pPr>
                              <w:pStyle w:val="TASTablesource"/>
                            </w:pPr>
                            <w:proofErr w:type="spellStart"/>
                            <w:r>
                              <w:t>Source</w:t>
                            </w:r>
                            <w:proofErr w:type="spellEnd"/>
                            <w:r>
                              <w:t xml:space="preserve">: Az MNB stabilitási jelentése  </w:t>
                            </w:r>
                          </w:p>
                          <w:p w:rsidR="002D610B" w:rsidRPr="00F121B0" w:rsidRDefault="002D610B" w:rsidP="005F2808">
                            <w:pPr>
                              <w:pStyle w:val="TASTabletext"/>
                            </w:pPr>
                            <w:r w:rsidRPr="00F121B0">
                              <w:rPr>
                                <w:noProof/>
                                <w:lang w:bidi="ar-SA"/>
                              </w:rPr>
                              <w:drawing>
                                <wp:inline distT="0" distB="0" distL="0" distR="0" wp14:anchorId="72AE33C3" wp14:editId="2004ACB7">
                                  <wp:extent cx="2984739" cy="2078271"/>
                                  <wp:effectExtent l="0" t="0" r="635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0113" cy="2082013"/>
                                          </a:xfrm>
                                          <a:prstGeom prst="rect">
                                            <a:avLst/>
                                          </a:prstGeom>
                                          <a:noFill/>
                                          <a:ln>
                                            <a:noFill/>
                                          </a:ln>
                                        </pic:spPr>
                                      </pic:pic>
                                    </a:graphicData>
                                  </a:graphic>
                                </wp:inline>
                              </w:drawing>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5" o:spid="_x0000_s1035" type="#_x0000_t202" style="position:absolute;left:0;text-align:left;margin-left:57.05pt;margin-top:467.9pt;width:231.7pt;height:217.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" filled="f" stroked="f" strokeweight=".5pt">
                <v:textbox inset="0">
                  <w:txbxContent>
                    <w:p w:rsidR="002D610B" w:rsidRDefault="002D610B" w:rsidP="005F2808">
                      <w:pPr>
                        <w:pStyle w:val="TASTabletitleborder"/>
                        <w:spacing w:before="20" w:after="20"/>
                      </w:pPr>
                      <w:r>
                        <w:t>ROE és ROA alakulása FY08A-FY13A között</w:t>
                      </w:r>
                    </w:p>
                    <w:p w:rsidR="002D610B" w:rsidRDefault="002D610B" w:rsidP="005F2808">
                      <w:pPr>
                        <w:pStyle w:val="TASTablesource"/>
                      </w:pPr>
                      <w:proofErr w:type="spellStart"/>
                      <w:r>
                        <w:t>Source</w:t>
                      </w:r>
                      <w:proofErr w:type="spellEnd"/>
                      <w:r>
                        <w:t xml:space="preserve">: Az MNB stabilitási jelentése  </w:t>
                      </w:r>
                    </w:p>
                    <w:p w:rsidR="002D610B" w:rsidRPr="00F121B0" w:rsidRDefault="002D610B" w:rsidP="005F2808">
                      <w:pPr>
                        <w:pStyle w:val="TASTabletext"/>
                      </w:pPr>
                      <w:r w:rsidRPr="00F121B0">
                        <w:rPr>
                          <w:noProof/>
                          <w:lang w:bidi="ar-SA"/>
                        </w:rPr>
                        <w:drawing>
                          <wp:inline distT="0" distB="0" distL="0" distR="0" wp14:anchorId="72AE33C3" wp14:editId="2004ACB7">
                            <wp:extent cx="2984739" cy="2078271"/>
                            <wp:effectExtent l="0" t="0" r="635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90113" cy="2082013"/>
                                    </a:xfrm>
                                    <a:prstGeom prst="rect">
                                      <a:avLst/>
                                    </a:prstGeom>
                                    <a:noFill/>
                                    <a:ln>
                                      <a:noFill/>
                                    </a:ln>
                                  </pic:spPr>
                                </pic:pic>
                              </a:graphicData>
                            </a:graphic>
                          </wp:inline>
                        </w:drawing>
                      </w:r>
                    </w:p>
                  </w:txbxContent>
                </v:textbox>
                <w10:wrap type="square" anchorx="page" anchory="margin"/>
              </v:shape>
            </w:pict>
          </mc:Fallback>
        </mc:AlternateContent>
      </w:r>
      <w:r>
        <w:rPr>
          <w:rFonts w:asciiTheme="minorHAnsi" w:hAnsiTheme="minorHAnsi"/>
          <w:noProof/>
          <w:lang w:bidi="ar-SA"/>
        </w:rPr>
        <mc:AlternateContent>
          <mc:Choice Requires="wps">
            <w:drawing>
              <wp:anchor distT="0" distB="0" distL="114300" distR="114300" simplePos="0" relativeHeight="251779072" behindDoc="0" locked="0" layoutInCell="1" allowOverlap="1" wp14:anchorId="5CA40FCA" wp14:editId="1CFEA136">
                <wp:simplePos x="0" y="0"/>
                <wp:positionH relativeFrom="column">
                  <wp:posOffset>0</wp:posOffset>
                </wp:positionH>
                <wp:positionV relativeFrom="paragraph">
                  <wp:posOffset>0</wp:posOffset>
                </wp:positionV>
                <wp:extent cx="635000" cy="635000"/>
                <wp:effectExtent l="0" t="0" r="0" b="0"/>
                <wp:wrapNone/>
                <wp:docPr id="486" name="f7bcf87e9def4ed2ae8bda8b5bf6842a"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rsidR="002D610B" w:rsidRDefault="002D610B" w:rsidP="005F28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f7bcf87e9def4ed2ae8bda8b5bf6842a" o:spid="_x0000_s1036" style="position:absolute;left:0;text-align:left;margin-left:0;margin-top:0;width:50pt;height:50pt;z-index:251779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">
                <o:lock v:ext="edit" selection="t"/>
                <v:textbox>
                  <w:txbxContent>
                    <w:p w:rsidR="002D610B" w:rsidRDefault="002D610B" w:rsidP="005F2808">
                      <w:pPr>
                        <w:jc w:val="center"/>
                      </w:pPr>
                    </w:p>
                  </w:txbxContent>
                </v:textbox>
              </v:rect>
            </w:pict>
          </mc:Fallback>
        </mc:AlternateContent>
      </w:r>
      <w:r w:rsidRPr="003249D9">
        <w:rPr>
          <w:rFonts w:asciiTheme="minorHAnsi" w:hAnsiTheme="minorHAnsi"/>
        </w:rPr>
        <w:t xml:space="preserve">Az olyan intézkedések, mint az előtörlesztési lehetőség vagy az árfolyamgát a háztartásokat igyekeznek megvédeni a megnövekedett havi jelzálog-fizetési kötelezettségektől. A Nemzeti Eszközkezelő Hivatal (NAMAC) és a kvótarendszer célja megvédeni a háztartásokat a kényszerű kilakoltatástól. A devizaalapú hitelezés szigorú feltételrendszerének bevezetése a kiskereskedelmi devizahitelek újratermelődését hivatottak megakadályozni. </w:t>
      </w:r>
    </w:p>
    <w:p w:rsidR="005F2808" w:rsidRPr="003249D9" w:rsidRDefault="005F2808" w:rsidP="005F2808">
      <w:pPr>
        <w:pStyle w:val="TASBulletnumber"/>
        <w:numPr>
          <w:ilvl w:val="0"/>
          <w:numId w:val="1"/>
        </w:numPr>
        <w:tabs>
          <w:tab w:val="left" w:pos="270"/>
        </w:tabs>
        <w:ind w:left="270" w:firstLine="0"/>
        <w:rPr>
          <w:rFonts w:asciiTheme="minorHAnsi" w:hAnsiTheme="minorHAnsi"/>
        </w:rPr>
      </w:pPr>
      <w:r w:rsidRPr="003249D9">
        <w:rPr>
          <w:rFonts w:asciiTheme="minorHAnsi" w:hAnsiTheme="minorHAnsi"/>
        </w:rPr>
        <w:t>A Magyar Nemzeti Bank által indított növekedési program célja elősegíteni a kis- és középvállalatok új befektetéseit, valamint újrafinanszírozni a devizahiteleket a kereskedelmi bankok számára díjmentes finanszírozás biztosításával.</w:t>
      </w:r>
    </w:p>
    <w:p w:rsidR="005F2808" w:rsidRPr="003249D9" w:rsidRDefault="005F2808" w:rsidP="005F2808">
      <w:pPr>
        <w:pStyle w:val="TASBulletnumber"/>
        <w:numPr>
          <w:ilvl w:val="0"/>
          <w:numId w:val="1"/>
        </w:numPr>
        <w:tabs>
          <w:tab w:val="left" w:pos="270"/>
        </w:tabs>
        <w:ind w:left="270" w:firstLine="0"/>
        <w:rPr>
          <w:rFonts w:asciiTheme="minorHAnsi" w:hAnsiTheme="minorHAnsi"/>
        </w:rPr>
      </w:pPr>
      <w:r w:rsidRPr="003249D9">
        <w:rPr>
          <w:rFonts w:asciiTheme="minorHAnsi" w:hAnsiTheme="minorHAnsi"/>
        </w:rPr>
        <w:t xml:space="preserve">A FY08A óta fennálló kedvezőtlen globális finanszírozási környezet miatt a költségvetési hiány egyre nehezebben kezelhető, emiatt pedig a pénzügyi megszorításokat kellett bevezeti és </w:t>
      </w:r>
      <w:proofErr w:type="spellStart"/>
      <w:r w:rsidRPr="003249D9">
        <w:rPr>
          <w:rFonts w:asciiTheme="minorHAnsi" w:hAnsiTheme="minorHAnsi"/>
        </w:rPr>
        <w:t>szektorális</w:t>
      </w:r>
      <w:proofErr w:type="spellEnd"/>
      <w:r w:rsidRPr="003249D9">
        <w:rPr>
          <w:rFonts w:asciiTheme="minorHAnsi" w:hAnsiTheme="minorHAnsi"/>
        </w:rPr>
        <w:t xml:space="preserve"> adókat kellett kivetni. A bankszektorra a bankadót, a pénzügyi tranzakciós adót és az extra pénzügyi </w:t>
      </w:r>
      <w:r w:rsidRPr="003249D9">
        <w:rPr>
          <w:rFonts w:asciiTheme="minorHAnsi" w:hAnsiTheme="minorHAnsi"/>
        </w:rPr>
        <w:lastRenderedPageBreak/>
        <w:t>tranzakciós adót (egyszeri fizetési kötelezettség FY13A-ban) vetették ki.</w:t>
      </w:r>
    </w:p>
    <w:p w:rsidR="005F2808" w:rsidRPr="003249D9" w:rsidRDefault="005F2808" w:rsidP="005F2808">
      <w:pPr>
        <w:pStyle w:val="TASBullet1"/>
        <w:ind w:left="90"/>
        <w:rPr>
          <w:rFonts w:asciiTheme="minorHAnsi" w:hAnsiTheme="minorHAnsi"/>
        </w:rPr>
      </w:pPr>
      <w:r w:rsidRPr="003249D9">
        <w:rPr>
          <w:rFonts w:asciiTheme="minorHAnsi" w:hAnsiTheme="minorHAnsi"/>
        </w:rPr>
        <w:t>A kormányzati intézkedések mellett a bankokkal szemben peres eljárások vannak folyamatban, amelyek elsősorban kereskedelmi devizahitelekre vonatkoznak.</w:t>
      </w:r>
      <w:r>
        <w:rPr>
          <w:rFonts w:asciiTheme="minorHAnsi" w:hAnsiTheme="minorHAnsi"/>
          <w:noProof/>
          <w:lang w:bidi="ar-SA"/>
        </w:rPr>
        <mc:AlternateContent>
          <mc:Choice Requires="wps">
            <w:drawing>
              <wp:anchor distT="0" distB="0" distL="114300" distR="114300" simplePos="0" relativeHeight="251791360" behindDoc="0" locked="0" layoutInCell="1" allowOverlap="1" wp14:anchorId="6F7B4C83" wp14:editId="68332AC2">
                <wp:simplePos x="0" y="0"/>
                <wp:positionH relativeFrom="page">
                  <wp:posOffset>502920</wp:posOffset>
                </wp:positionH>
                <wp:positionV relativeFrom="margin">
                  <wp:posOffset>0</wp:posOffset>
                </wp:positionV>
                <wp:extent cx="3167824" cy="914400"/>
                <wp:effectExtent l="0" t="0" r="0" b="0"/>
                <wp:wrapSquare wrapText="bothSides"/>
                <wp:docPr id="487" name="Text Box 487"/>
                <wp:cNvGraphicFramePr/>
                <a:graphic xmlns:a="http://schemas.openxmlformats.org/drawingml/2006/main">
                  <a:graphicData uri="http://schemas.microsoft.com/office/word/2010/wordprocessingShape">
                    <wps:wsp>
                      <wps:cNvSpPr txBox="1"/>
                      <wps:spPr>
                        <a:xfrm>
                          <a:off x="0" y="0"/>
                          <a:ext cx="3167824" cy="9144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2D610B" w:rsidRDefault="002D610B" w:rsidP="005F2808">
                            <w:pPr>
                              <w:pStyle w:val="TASTabletitleborder"/>
                              <w:spacing w:before="20" w:after="20"/>
                            </w:pPr>
                            <w:r>
                              <w:t xml:space="preserve">A magyar bankszektor </w:t>
                            </w:r>
                            <w:proofErr w:type="spellStart"/>
                            <w:r>
                              <w:t>tőkemegfelelési</w:t>
                            </w:r>
                            <w:proofErr w:type="spellEnd"/>
                            <w:r>
                              <w:t xml:space="preserve"> mutatója</w:t>
                            </w:r>
                          </w:p>
                          <w:p w:rsidR="002D610B" w:rsidRDefault="002D610B" w:rsidP="005F2808">
                            <w:pPr>
                              <w:pStyle w:val="TASTablesource"/>
                            </w:pPr>
                            <w:proofErr w:type="spellStart"/>
                            <w:r>
                              <w:t>Source</w:t>
                            </w:r>
                            <w:proofErr w:type="spellEnd"/>
                            <w:r>
                              <w:t>: Az MNB stabilitási jelentése</w:t>
                            </w:r>
                          </w:p>
                          <w:p w:rsidR="002D610B" w:rsidRPr="00D327FA" w:rsidRDefault="002D610B" w:rsidP="005F2808">
                            <w:pPr>
                              <w:pStyle w:val="TASTabletext"/>
                            </w:pPr>
                            <w:r w:rsidRPr="00D327FA">
                              <w:rPr>
                                <w:noProof/>
                                <w:lang w:bidi="ar-SA"/>
                              </w:rPr>
                              <w:drawing>
                                <wp:inline distT="0" distB="0" distL="0" distR="0" wp14:anchorId="0F5FCD4E" wp14:editId="6953E880">
                                  <wp:extent cx="3163913" cy="229058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3913" cy="2290585"/>
                                          </a:xfrm>
                                          <a:prstGeom prst="rect">
                                            <a:avLst/>
                                          </a:prstGeom>
                                          <a:noFill/>
                                          <a:ln>
                                            <a:noFill/>
                                          </a:ln>
                                        </pic:spPr>
                                      </pic:pic>
                                    </a:graphicData>
                                  </a:graphic>
                                </wp:inline>
                              </w:drawing>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87" o:spid="_x0000_s1037" type="#_x0000_t202" style="position:absolute;left:0;text-align:left;margin-left:39.6pt;margin-top:0;width:249.45pt;height:1in;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" filled="f" stroked="f" strokeweight=".5pt">
                <v:textbox style="mso-fit-shape-to-text:t" inset="0">
                  <w:txbxContent>
                    <w:p w:rsidR="002D610B" w:rsidRDefault="002D610B" w:rsidP="005F2808">
                      <w:pPr>
                        <w:pStyle w:val="TASTabletitleborder"/>
                        <w:spacing w:before="20" w:after="20"/>
                      </w:pPr>
                      <w:r>
                        <w:t xml:space="preserve">A magyar bankszektor </w:t>
                      </w:r>
                      <w:proofErr w:type="spellStart"/>
                      <w:r>
                        <w:t>tőkemegfelelési</w:t>
                      </w:r>
                      <w:proofErr w:type="spellEnd"/>
                      <w:r>
                        <w:t xml:space="preserve"> mutatója</w:t>
                      </w:r>
                    </w:p>
                    <w:p w:rsidR="002D610B" w:rsidRDefault="002D610B" w:rsidP="005F2808">
                      <w:pPr>
                        <w:pStyle w:val="TASTablesource"/>
                      </w:pPr>
                      <w:proofErr w:type="spellStart"/>
                      <w:r>
                        <w:t>Source</w:t>
                      </w:r>
                      <w:proofErr w:type="spellEnd"/>
                      <w:r>
                        <w:t>: Az MNB stabilitási jelentése</w:t>
                      </w:r>
                    </w:p>
                    <w:p w:rsidR="002D610B" w:rsidRPr="00D327FA" w:rsidRDefault="002D610B" w:rsidP="005F2808">
                      <w:pPr>
                        <w:pStyle w:val="TASTabletext"/>
                      </w:pPr>
                      <w:r w:rsidRPr="00D327FA">
                        <w:rPr>
                          <w:noProof/>
                          <w:lang w:bidi="ar-SA"/>
                        </w:rPr>
                        <w:drawing>
                          <wp:inline distT="0" distB="0" distL="0" distR="0" wp14:anchorId="0F5FCD4E" wp14:editId="6953E880">
                            <wp:extent cx="3163913" cy="229058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3913" cy="2290585"/>
                                    </a:xfrm>
                                    <a:prstGeom prst="rect">
                                      <a:avLst/>
                                    </a:prstGeom>
                                    <a:noFill/>
                                    <a:ln>
                                      <a:noFill/>
                                    </a:ln>
                                  </pic:spPr>
                                </pic:pic>
                              </a:graphicData>
                            </a:graphic>
                          </wp:inline>
                        </w:drawing>
                      </w:r>
                    </w:p>
                  </w:txbxContent>
                </v:textbox>
                <w10:wrap type="square" anchorx="page" anchory="margin"/>
              </v:shape>
            </w:pict>
          </mc:Fallback>
        </mc:AlternateContent>
      </w:r>
    </w:p>
    <w:p w:rsidR="005F2808" w:rsidRPr="003249D9" w:rsidRDefault="005F2808" w:rsidP="005F2808">
      <w:pPr>
        <w:pStyle w:val="TASBullet1"/>
        <w:numPr>
          <w:ilvl w:val="0"/>
          <w:numId w:val="0"/>
        </w:numPr>
        <w:ind w:left="288"/>
        <w:rPr>
          <w:rFonts w:asciiTheme="minorHAnsi" w:hAnsiTheme="minorHAnsi"/>
        </w:rPr>
      </w:pPr>
    </w:p>
    <w:p w:rsidR="005F2808" w:rsidRPr="003249D9" w:rsidRDefault="005F2808" w:rsidP="005F2808">
      <w:pPr>
        <w:pStyle w:val="TASTextheading2"/>
        <w:rPr>
          <w:rFonts w:asciiTheme="minorHAnsi" w:hAnsiTheme="minorHAnsi"/>
        </w:rPr>
      </w:pPr>
      <w:r w:rsidRPr="003249D9">
        <w:rPr>
          <w:rFonts w:asciiTheme="minorHAnsi" w:hAnsiTheme="minorHAnsi"/>
        </w:rPr>
        <w:t>A szektor nyereségessége</w:t>
      </w:r>
    </w:p>
    <w:p w:rsidR="005F2808" w:rsidRPr="003249D9" w:rsidRDefault="005F2808" w:rsidP="005F2808">
      <w:pPr>
        <w:pStyle w:val="TASBullet1"/>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780096" behindDoc="0" locked="0" layoutInCell="1" allowOverlap="1" wp14:anchorId="0DFC4758" wp14:editId="2249BFE8">
                <wp:simplePos x="0" y="0"/>
                <wp:positionH relativeFrom="column">
                  <wp:posOffset>0</wp:posOffset>
                </wp:positionH>
                <wp:positionV relativeFrom="paragraph">
                  <wp:posOffset>0</wp:posOffset>
                </wp:positionV>
                <wp:extent cx="635000" cy="635000"/>
                <wp:effectExtent l="0" t="0" r="0" b="0"/>
                <wp:wrapNone/>
                <wp:docPr id="488" name="2279541f2dbe433da3d52a557858a0e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rsidR="002D610B" w:rsidRDefault="002D610B" w:rsidP="005F28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2279541f2dbe433da3d52a557858a0e5" o:spid="_x0000_s1038" style="position:absolute;left:0;text-align:left;margin-left:0;margin-top:0;width:50pt;height:50pt;z-index:251780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">
                <o:lock v:ext="edit" selection="t"/>
                <v:textbox>
                  <w:txbxContent>
                    <w:p w:rsidR="002D610B" w:rsidRDefault="002D610B" w:rsidP="005F2808">
                      <w:pPr>
                        <w:jc w:val="center"/>
                      </w:pPr>
                    </w:p>
                  </w:txbxContent>
                </v:textbox>
              </v:rect>
            </w:pict>
          </mc:Fallback>
        </mc:AlternateContent>
      </w:r>
      <w:r w:rsidRPr="003249D9">
        <w:rPr>
          <w:rFonts w:asciiTheme="minorHAnsi" w:hAnsiTheme="minorHAnsi"/>
        </w:rPr>
        <w:t xml:space="preserve">A bankszektor működése veszteséges volt Q411A és Q313A között. A Q413A-ban tapasztalt pozitív </w:t>
      </w:r>
      <w:proofErr w:type="spellStart"/>
      <w:r w:rsidRPr="003249D9">
        <w:rPr>
          <w:rFonts w:asciiTheme="minorHAnsi" w:hAnsiTheme="minorHAnsi"/>
        </w:rPr>
        <w:t>sajáttőkehozam</w:t>
      </w:r>
      <w:proofErr w:type="spellEnd"/>
      <w:r w:rsidRPr="003249D9">
        <w:rPr>
          <w:rFonts w:asciiTheme="minorHAnsi" w:hAnsiTheme="minorHAnsi"/>
        </w:rPr>
        <w:t xml:space="preserve"> az MKB-nál biztosított egyszeri adósság-elengedésnek volt köszönhető. Az igazított ROE mutatója Q413A-ban is negatív volt, azonban jelentős mértékben javult FY12A-hoz képest.</w:t>
      </w:r>
    </w:p>
    <w:p w:rsidR="005F2808" w:rsidRPr="003249D9" w:rsidRDefault="005F2808" w:rsidP="005F2808">
      <w:pPr>
        <w:pStyle w:val="TASBullet1"/>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792384" behindDoc="0" locked="0" layoutInCell="1" allowOverlap="1" wp14:anchorId="0253DEF5" wp14:editId="669D0EE7">
                <wp:simplePos x="0" y="0"/>
                <wp:positionH relativeFrom="page">
                  <wp:posOffset>502920</wp:posOffset>
                </wp:positionH>
                <wp:positionV relativeFrom="margin">
                  <wp:posOffset>3465195</wp:posOffset>
                </wp:positionV>
                <wp:extent cx="6555105" cy="914400"/>
                <wp:effectExtent l="0" t="0" r="0" b="0"/>
                <wp:wrapSquare wrapText="bothSides"/>
                <wp:docPr id="489" name="Text Box 489"/>
                <wp:cNvGraphicFramePr/>
                <a:graphic xmlns:a="http://schemas.openxmlformats.org/drawingml/2006/main">
                  <a:graphicData uri="http://schemas.microsoft.com/office/word/2010/wordprocessingShape">
                    <wps:wsp>
                      <wps:cNvSpPr txBox="1"/>
                      <wps:spPr>
                        <a:xfrm>
                          <a:off x="0" y="0"/>
                          <a:ext cx="6555105" cy="9144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2D610B" w:rsidRDefault="002D610B" w:rsidP="005F2808">
                            <w:pPr>
                              <w:pStyle w:val="TASTabletitleborder"/>
                              <w:spacing w:before="20" w:after="20"/>
                            </w:pPr>
                            <w:r>
                              <w:t>Tőkeinjekciók</w:t>
                            </w:r>
                          </w:p>
                          <w:p w:rsidR="002D610B" w:rsidRDefault="002D610B" w:rsidP="005F2808">
                            <w:pPr>
                              <w:pStyle w:val="TASTablesource"/>
                            </w:pPr>
                            <w:proofErr w:type="spellStart"/>
                            <w:r>
                              <w:t>Source</w:t>
                            </w:r>
                            <w:proofErr w:type="spellEnd"/>
                            <w:r>
                              <w:t>: Az MNB stabilitási jelentése</w:t>
                            </w:r>
                          </w:p>
                          <w:p w:rsidR="002D610B" w:rsidRPr="00D327FA" w:rsidRDefault="002D610B" w:rsidP="005F2808">
                            <w:pPr>
                              <w:pStyle w:val="TASTabletext"/>
                            </w:pPr>
                            <w:r w:rsidRPr="00D327FA">
                              <w:rPr>
                                <w:noProof/>
                                <w:lang w:bidi="ar-SA"/>
                              </w:rPr>
                              <w:drawing>
                                <wp:inline distT="0" distB="0" distL="0" distR="0" wp14:anchorId="5482DA8C" wp14:editId="3B070B92">
                                  <wp:extent cx="6542290" cy="2276806"/>
                                  <wp:effectExtent l="0" t="0" r="0"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42290" cy="2276806"/>
                                          </a:xfrm>
                                          <a:prstGeom prst="rect">
                                            <a:avLst/>
                                          </a:prstGeom>
                                          <a:noFill/>
                                          <a:ln>
                                            <a:noFill/>
                                          </a:ln>
                                        </pic:spPr>
                                      </pic:pic>
                                    </a:graphicData>
                                  </a:graphic>
                                </wp:inline>
                              </w:drawing>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89" o:spid="_x0000_s1039" type="#_x0000_t202" style="position:absolute;left:0;text-align:left;margin-left:39.6pt;margin-top:272.85pt;width:516.15pt;height:1in;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" filled="f" stroked="f" strokeweight=".5pt">
                <v:textbox style="mso-fit-shape-to-text:t" inset="0">
                  <w:txbxContent>
                    <w:p w:rsidR="002D610B" w:rsidRDefault="002D610B" w:rsidP="005F2808">
                      <w:pPr>
                        <w:pStyle w:val="TASTabletitleborder"/>
                        <w:spacing w:before="20" w:after="20"/>
                      </w:pPr>
                      <w:r>
                        <w:t>Tőkeinjekciók</w:t>
                      </w:r>
                    </w:p>
                    <w:p w:rsidR="002D610B" w:rsidRDefault="002D610B" w:rsidP="005F2808">
                      <w:pPr>
                        <w:pStyle w:val="TASTablesource"/>
                      </w:pPr>
                      <w:proofErr w:type="spellStart"/>
                      <w:r>
                        <w:t>Source</w:t>
                      </w:r>
                      <w:proofErr w:type="spellEnd"/>
                      <w:r>
                        <w:t>: Az MNB stabilitási jelentése</w:t>
                      </w:r>
                    </w:p>
                    <w:p w:rsidR="002D610B" w:rsidRPr="00D327FA" w:rsidRDefault="002D610B" w:rsidP="005F2808">
                      <w:pPr>
                        <w:pStyle w:val="TASTabletext"/>
                      </w:pPr>
                      <w:r w:rsidRPr="00D327FA">
                        <w:rPr>
                          <w:noProof/>
                          <w:lang w:bidi="ar-SA"/>
                        </w:rPr>
                        <w:drawing>
                          <wp:inline distT="0" distB="0" distL="0" distR="0" wp14:anchorId="5482DA8C" wp14:editId="3B070B92">
                            <wp:extent cx="6542290" cy="2276806"/>
                            <wp:effectExtent l="0" t="0" r="0"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542290" cy="2276806"/>
                                    </a:xfrm>
                                    <a:prstGeom prst="rect">
                                      <a:avLst/>
                                    </a:prstGeom>
                                    <a:noFill/>
                                    <a:ln>
                                      <a:noFill/>
                                    </a:ln>
                                  </pic:spPr>
                                </pic:pic>
                              </a:graphicData>
                            </a:graphic>
                          </wp:inline>
                        </w:drawing>
                      </w:r>
                    </w:p>
                  </w:txbxContent>
                </v:textbox>
                <w10:wrap type="square" anchorx="page" anchory="margin"/>
              </v:shape>
            </w:pict>
          </mc:Fallback>
        </mc:AlternateContent>
      </w:r>
      <w:r w:rsidRPr="003249D9">
        <w:rPr>
          <w:rFonts w:asciiTheme="minorHAnsi" w:hAnsiTheme="minorHAnsi"/>
        </w:rPr>
        <w:t>A bankszektor adó előtti nyeresége (PBT) 114 milliárd forint volt FY13A, ami FY10A óta első alkalommal volt pozitív előjelű. A nyereség az egyszeri adósság-elengedésnek volt betudható, az ezt nem tartalmazó kiigazított eredmény veszteséges.</w:t>
      </w:r>
    </w:p>
    <w:p w:rsidR="005F2808" w:rsidRPr="003249D9" w:rsidRDefault="005F2808" w:rsidP="005F2808">
      <w:pPr>
        <w:pStyle w:val="TASTextheading2"/>
        <w:rPr>
          <w:rFonts w:asciiTheme="minorHAnsi" w:hAnsiTheme="minorHAnsi"/>
        </w:rPr>
      </w:pPr>
      <w:r w:rsidRPr="003249D9">
        <w:rPr>
          <w:rFonts w:asciiTheme="minorHAnsi" w:hAnsiTheme="minorHAnsi"/>
        </w:rPr>
        <w:t>Tőkeinjekciók</w:t>
      </w:r>
    </w:p>
    <w:p w:rsidR="005F2808" w:rsidRPr="003249D9" w:rsidRDefault="005F2808" w:rsidP="005F2808">
      <w:pPr>
        <w:pStyle w:val="TASBullet1"/>
        <w:rPr>
          <w:rFonts w:asciiTheme="minorHAnsi" w:hAnsiTheme="minorHAnsi"/>
        </w:rPr>
      </w:pPr>
      <w:r w:rsidRPr="003249D9">
        <w:rPr>
          <w:rFonts w:asciiTheme="minorHAnsi" w:hAnsiTheme="minorHAnsi"/>
        </w:rPr>
        <w:t>A bankok veszteséges magyarországi működése miatt a bankok anyavállalatai új tőkét injektáltak magyar leányvállalataikba a</w:t>
      </w:r>
      <w:r>
        <w:rPr>
          <w:rFonts w:asciiTheme="minorHAnsi" w:hAnsiTheme="minorHAnsi"/>
        </w:rPr>
        <w:t xml:space="preserve"> </w:t>
      </w:r>
      <w:r w:rsidRPr="003249D9">
        <w:rPr>
          <w:rFonts w:asciiTheme="minorHAnsi" w:hAnsiTheme="minorHAnsi"/>
        </w:rPr>
        <w:t>tőke-megfelelési mutató kielégítése érdekében (az MNB előírásai szerint legalább 8% vagy e feletti igazított mutató).</w:t>
      </w:r>
    </w:p>
    <w:p w:rsidR="005F2808" w:rsidRPr="003249D9" w:rsidRDefault="005F2808" w:rsidP="005F2808">
      <w:pPr>
        <w:pStyle w:val="TASBullet1"/>
        <w:rPr>
          <w:rFonts w:asciiTheme="minorHAnsi" w:hAnsiTheme="minorHAnsi"/>
        </w:rPr>
      </w:pPr>
      <w:r w:rsidRPr="003249D9">
        <w:rPr>
          <w:rFonts w:asciiTheme="minorHAnsi" w:hAnsiTheme="minorHAnsi"/>
        </w:rPr>
        <w:t>A tőkeinjekcióknak köszönhetően a tőke-megfelelési mutató (CAR) jelentős javulást mutatott az elmúlt 5 évben, így pedig Dec13A-ra elérte a 15,5%-ot, ami Dec08A-hoz képest 6,2 százalékpontos növekedést jelent.</w:t>
      </w:r>
    </w:p>
    <w:p w:rsidR="005F2808" w:rsidRPr="003249D9" w:rsidRDefault="005F2808" w:rsidP="005F2808">
      <w:pPr>
        <w:pStyle w:val="TASBullet1"/>
        <w:numPr>
          <w:ilvl w:val="0"/>
          <w:numId w:val="22"/>
        </w:numPr>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781120" behindDoc="0" locked="0" layoutInCell="1" allowOverlap="1" wp14:anchorId="3251B313" wp14:editId="034FB3C0">
                <wp:simplePos x="0" y="0"/>
                <wp:positionH relativeFrom="column">
                  <wp:posOffset>0</wp:posOffset>
                </wp:positionH>
                <wp:positionV relativeFrom="paragraph">
                  <wp:posOffset>0</wp:posOffset>
                </wp:positionV>
                <wp:extent cx="635000" cy="635000"/>
                <wp:effectExtent l="0" t="0" r="0" b="0"/>
                <wp:wrapNone/>
                <wp:docPr id="490" name="6f64f8b9900946858ac32974fca6675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rsidR="002D610B" w:rsidRDefault="002D610B" w:rsidP="005F28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6f64f8b9900946858ac32974fca66754" o:spid="_x0000_s1040" style="position:absolute;left:0;text-align:left;margin-left:0;margin-top:0;width:50pt;height:50pt;z-index:251781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">
                <o:lock v:ext="edit" selection="t"/>
                <v:textbox>
                  <w:txbxContent>
                    <w:p w:rsidR="002D610B" w:rsidRDefault="002D610B" w:rsidP="005F2808">
                      <w:pPr>
                        <w:jc w:val="center"/>
                      </w:pPr>
                    </w:p>
                  </w:txbxContent>
                </v:textbox>
              </v:rect>
            </w:pict>
          </mc:Fallback>
        </mc:AlternateContent>
      </w:r>
      <w:r w:rsidRPr="003249D9">
        <w:rPr>
          <w:rFonts w:asciiTheme="minorHAnsi" w:hAnsiTheme="minorHAnsi"/>
        </w:rPr>
        <w:t>Az AQR eredményétől függően további tőkeinjekcióra lehet szükség. Az eszközök minőségének vizsgálata (AQR) FY14 októberében válik elérhetővé.</w:t>
      </w:r>
      <w:r>
        <w:rPr>
          <w:rFonts w:asciiTheme="minorHAnsi" w:hAnsiTheme="minorHAnsi"/>
          <w:noProof/>
          <w:lang w:bidi="ar-SA"/>
        </w:rPr>
        <mc:AlternateContent>
          <mc:Choice Requires="wps">
            <w:drawing>
              <wp:anchor distT="0" distB="0" distL="114300" distR="114300" simplePos="0" relativeHeight="251782144" behindDoc="0" locked="0" layoutInCell="1" allowOverlap="1" wp14:anchorId="23AF8A0B" wp14:editId="204F91CE">
                <wp:simplePos x="0" y="0"/>
                <wp:positionH relativeFrom="column">
                  <wp:posOffset>0</wp:posOffset>
                </wp:positionH>
                <wp:positionV relativeFrom="paragraph">
                  <wp:posOffset>0</wp:posOffset>
                </wp:positionV>
                <wp:extent cx="635000" cy="635000"/>
                <wp:effectExtent l="0" t="0" r="0" b="0"/>
                <wp:wrapNone/>
                <wp:docPr id="491" name="c902b3b392ab4c6f9fbbfc418f81c7a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rsidR="002D610B" w:rsidRDefault="002D610B" w:rsidP="005F28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c902b3b392ab4c6f9fbbfc418f81c7a5" o:spid="_x0000_s1041" style="position:absolute;left:0;text-align:left;margin-left:0;margin-top:0;width:50pt;height:50pt;z-index:251782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">
                <o:lock v:ext="edit" selection="t"/>
                <v:textbox>
                  <w:txbxContent>
                    <w:p w:rsidR="002D610B" w:rsidRDefault="002D610B" w:rsidP="005F2808">
                      <w:pPr>
                        <w:jc w:val="center"/>
                      </w:pPr>
                    </w:p>
                  </w:txbxContent>
                </v:textbox>
              </v:rect>
            </w:pict>
          </mc:Fallback>
        </mc:AlternateContent>
      </w:r>
    </w:p>
    <w:p w:rsidR="005F2808" w:rsidRPr="003249D9" w:rsidRDefault="005F2808" w:rsidP="005F2808">
      <w:pPr>
        <w:pStyle w:val="TASBodytext"/>
        <w:rPr>
          <w:rFonts w:asciiTheme="minorHAnsi" w:hAnsiTheme="minorHAnsi"/>
        </w:rPr>
      </w:pPr>
    </w:p>
    <w:p w:rsidR="005F2808" w:rsidRPr="003249D9" w:rsidRDefault="005F2808" w:rsidP="005F2808">
      <w:pPr>
        <w:pStyle w:val="TASBodytext"/>
        <w:rPr>
          <w:rFonts w:asciiTheme="minorHAnsi" w:hAnsiTheme="minorHAnsi"/>
        </w:rPr>
      </w:pPr>
    </w:p>
    <w:p w:rsidR="005F2808" w:rsidRPr="003249D9" w:rsidRDefault="005F2808" w:rsidP="005F2808">
      <w:pPr>
        <w:pStyle w:val="TASBodytext"/>
        <w:rPr>
          <w:rFonts w:asciiTheme="minorHAnsi" w:hAnsiTheme="minorHAnsi"/>
        </w:rPr>
      </w:pPr>
    </w:p>
    <w:p w:rsidR="005F2808" w:rsidRPr="003249D9" w:rsidRDefault="005F2808" w:rsidP="005F2808">
      <w:pPr>
        <w:pStyle w:val="TASBodytext"/>
        <w:rPr>
          <w:rFonts w:asciiTheme="minorHAnsi" w:hAnsiTheme="minorHAnsi"/>
        </w:rPr>
      </w:pPr>
    </w:p>
    <w:p w:rsidR="005F2808" w:rsidRPr="003249D9" w:rsidRDefault="005F2808" w:rsidP="005F2808">
      <w:pPr>
        <w:pStyle w:val="TASBodytext"/>
        <w:rPr>
          <w:rFonts w:asciiTheme="minorHAnsi" w:hAnsiTheme="minorHAnsi"/>
        </w:rPr>
        <w:sectPr w:rsidR="005F2808" w:rsidRPr="003249D9">
          <w:headerReference w:type="default" r:id="rId43"/>
          <w:footerReference w:type="default" r:id="rId44"/>
          <w:pgSz w:w="11907" w:h="16839" w:code="9"/>
          <w:pgMar w:top="2304" w:right="792" w:bottom="1022" w:left="792" w:header="605" w:footer="706" w:gutter="0"/>
          <w:cols w:space="720"/>
          <w:docGrid w:linePitch="360"/>
        </w:sectPr>
      </w:pPr>
    </w:p>
    <w:p w:rsidR="005F2808" w:rsidRPr="003249D9" w:rsidRDefault="005F2808" w:rsidP="005F2808">
      <w:pPr>
        <w:pStyle w:val="TASStraplinefirst"/>
        <w:framePr w:wrap="notBeside"/>
        <w:rPr>
          <w:rFonts w:asciiTheme="minorHAnsi" w:hAnsiTheme="minorHAnsi"/>
        </w:rPr>
      </w:pPr>
      <w:r w:rsidRPr="003249D9">
        <w:rPr>
          <w:rFonts w:asciiTheme="minorHAnsi" w:hAnsiTheme="minorHAnsi"/>
        </w:rPr>
        <w:lastRenderedPageBreak/>
        <w:t>Az NPL készletnövekedésének főbb okozói korábbi adatok alapján</w:t>
      </w:r>
    </w:p>
    <w:p w:rsidR="005F2808" w:rsidRPr="003249D9" w:rsidRDefault="005F2808" w:rsidP="005F2808">
      <w:pPr>
        <w:pStyle w:val="TASTextheading1"/>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793408" behindDoc="0" locked="0" layoutInCell="1" allowOverlap="1" wp14:anchorId="27995318" wp14:editId="40158F98">
                <wp:simplePos x="0" y="0"/>
                <wp:positionH relativeFrom="page">
                  <wp:posOffset>497840</wp:posOffset>
                </wp:positionH>
                <wp:positionV relativeFrom="margin">
                  <wp:posOffset>71755</wp:posOffset>
                </wp:positionV>
                <wp:extent cx="3167380" cy="2700020"/>
                <wp:effectExtent l="0" t="0" r="0" b="5080"/>
                <wp:wrapSquare wrapText="bothSides"/>
                <wp:docPr id="492" name="Text Box 492"/>
                <wp:cNvGraphicFramePr/>
                <a:graphic xmlns:a="http://schemas.openxmlformats.org/drawingml/2006/main">
                  <a:graphicData uri="http://schemas.microsoft.com/office/word/2010/wordprocessingShape">
                    <wps:wsp>
                      <wps:cNvSpPr txBox="1"/>
                      <wps:spPr>
                        <a:xfrm>
                          <a:off x="0" y="0"/>
                          <a:ext cx="3167380" cy="270002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2D610B" w:rsidRDefault="002D610B" w:rsidP="005F2808">
                            <w:pPr>
                              <w:pStyle w:val="TASTabletitleborder"/>
                              <w:spacing w:before="20" w:after="20"/>
                            </w:pPr>
                            <w:r>
                              <w:t>FY08A-FY13A közötti éves átlag FX árfolyamok</w:t>
                            </w:r>
                          </w:p>
                          <w:p w:rsidR="002D610B" w:rsidRDefault="002D610B" w:rsidP="005F2808">
                            <w:pPr>
                              <w:pStyle w:val="TASTablesource"/>
                            </w:pPr>
                            <w:proofErr w:type="spellStart"/>
                            <w:r>
                              <w:t>Source</w:t>
                            </w:r>
                            <w:proofErr w:type="spellEnd"/>
                            <w:r>
                              <w:t>:</w:t>
                            </w:r>
                          </w:p>
                          <w:p w:rsidR="002D610B" w:rsidRPr="007B26C9" w:rsidRDefault="002D610B" w:rsidP="005F2808">
                            <w:pPr>
                              <w:pStyle w:val="TASTabletext"/>
                            </w:pPr>
                            <w:r w:rsidRPr="007B26C9">
                              <w:rPr>
                                <w:noProof/>
                                <w:lang w:bidi="ar-SA"/>
                              </w:rPr>
                              <w:drawing>
                                <wp:inline distT="0" distB="0" distL="0" distR="0" wp14:anchorId="7246CCFA" wp14:editId="21328CA8">
                                  <wp:extent cx="3169103" cy="2238526"/>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69103" cy="2238526"/>
                                          </a:xfrm>
                                          <a:prstGeom prst="rect">
                                            <a:avLst/>
                                          </a:prstGeom>
                                          <a:noFill/>
                                          <a:ln>
                                            <a:noFill/>
                                          </a:ln>
                                        </pic:spPr>
                                      </pic:pic>
                                    </a:graphicData>
                                  </a:graphic>
                                </wp:inline>
                              </w:drawing>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2" o:spid="_x0000_s1042" type="#_x0000_t202" style="position:absolute;margin-left:39.2pt;margin-top:5.65pt;width:249.4pt;height:212.6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" filled="f" stroked="f" strokeweight=".5pt">
                <v:textbox inset="0">
                  <w:txbxContent>
                    <w:p w:rsidR="002D610B" w:rsidRDefault="002D610B" w:rsidP="005F2808">
                      <w:pPr>
                        <w:pStyle w:val="TASTabletitleborder"/>
                        <w:spacing w:before="20" w:after="20"/>
                      </w:pPr>
                      <w:r>
                        <w:t>FY08A-FY13A közötti éves átlag FX árfolyamok</w:t>
                      </w:r>
                    </w:p>
                    <w:p w:rsidR="002D610B" w:rsidRDefault="002D610B" w:rsidP="005F2808">
                      <w:pPr>
                        <w:pStyle w:val="TASTablesource"/>
                      </w:pPr>
                      <w:proofErr w:type="spellStart"/>
                      <w:r>
                        <w:t>Source</w:t>
                      </w:r>
                      <w:proofErr w:type="spellEnd"/>
                      <w:r>
                        <w:t>:</w:t>
                      </w:r>
                    </w:p>
                    <w:p w:rsidR="002D610B" w:rsidRPr="007B26C9" w:rsidRDefault="002D610B" w:rsidP="005F2808">
                      <w:pPr>
                        <w:pStyle w:val="TASTabletext"/>
                      </w:pPr>
                      <w:r w:rsidRPr="007B26C9">
                        <w:rPr>
                          <w:noProof/>
                          <w:lang w:bidi="ar-SA"/>
                        </w:rPr>
                        <w:drawing>
                          <wp:inline distT="0" distB="0" distL="0" distR="0" wp14:anchorId="7246CCFA" wp14:editId="21328CA8">
                            <wp:extent cx="3169103" cy="2238526"/>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69103" cy="2238526"/>
                                    </a:xfrm>
                                    <a:prstGeom prst="rect">
                                      <a:avLst/>
                                    </a:prstGeom>
                                    <a:noFill/>
                                    <a:ln>
                                      <a:noFill/>
                                    </a:ln>
                                  </pic:spPr>
                                </pic:pic>
                              </a:graphicData>
                            </a:graphic>
                          </wp:inline>
                        </w:drawing>
                      </w:r>
                    </w:p>
                  </w:txbxContent>
                </v:textbox>
                <w10:wrap type="square" anchorx="page" anchory="margin"/>
              </v:shape>
            </w:pict>
          </mc:Fallback>
        </mc:AlternateContent>
      </w:r>
      <w:r w:rsidRPr="003249D9">
        <w:rPr>
          <w:rFonts w:asciiTheme="minorHAnsi" w:hAnsiTheme="minorHAnsi"/>
        </w:rPr>
        <w:t>Az NPL növekedésének okozói</w:t>
      </w:r>
    </w:p>
    <w:p w:rsidR="005F2808" w:rsidRPr="003249D9" w:rsidRDefault="005F2808" w:rsidP="005F2808">
      <w:pPr>
        <w:pStyle w:val="TASBullet1"/>
        <w:ind w:left="90"/>
        <w:rPr>
          <w:rFonts w:asciiTheme="minorHAnsi" w:hAnsiTheme="minorHAnsi"/>
        </w:rPr>
      </w:pPr>
      <w:r w:rsidRPr="003249D9">
        <w:rPr>
          <w:rFonts w:asciiTheme="minorHAnsi" w:hAnsiTheme="minorHAnsi"/>
        </w:rPr>
        <w:t xml:space="preserve">A </w:t>
      </w:r>
      <w:proofErr w:type="spellStart"/>
      <w:r w:rsidRPr="003249D9">
        <w:rPr>
          <w:rFonts w:asciiTheme="minorHAnsi" w:hAnsiTheme="minorHAnsi"/>
        </w:rPr>
        <w:t>nemteljesítő</w:t>
      </w:r>
      <w:proofErr w:type="spellEnd"/>
      <w:r w:rsidRPr="003249D9">
        <w:rPr>
          <w:rFonts w:asciiTheme="minorHAnsi" w:hAnsiTheme="minorHAnsi"/>
        </w:rPr>
        <w:t xml:space="preserve"> hitelek növekedését több tényező egybeesése okozta.</w:t>
      </w:r>
    </w:p>
    <w:p w:rsidR="005F2808" w:rsidRPr="003249D9" w:rsidRDefault="005F2808" w:rsidP="005F2808">
      <w:pPr>
        <w:pStyle w:val="TASTextheading2"/>
        <w:rPr>
          <w:rFonts w:asciiTheme="minorHAnsi" w:hAnsiTheme="minorHAnsi"/>
        </w:rPr>
      </w:pPr>
      <w:r w:rsidRPr="003249D9">
        <w:rPr>
          <w:rFonts w:asciiTheme="minorHAnsi" w:hAnsiTheme="minorHAnsi"/>
        </w:rPr>
        <w:t>Devizaváltozások</w:t>
      </w:r>
    </w:p>
    <w:p w:rsidR="005F2808" w:rsidRPr="003249D9" w:rsidRDefault="005F2808" w:rsidP="005F2808">
      <w:pPr>
        <w:pStyle w:val="TASBullet1"/>
        <w:tabs>
          <w:tab w:val="left" w:pos="180"/>
        </w:tabs>
        <w:ind w:left="90" w:hanging="90"/>
        <w:rPr>
          <w:rFonts w:asciiTheme="minorHAnsi" w:hAnsiTheme="minorHAnsi"/>
        </w:rPr>
      </w:pPr>
      <w:r w:rsidRPr="003249D9">
        <w:rPr>
          <w:rFonts w:asciiTheme="minorHAnsi" w:hAnsiTheme="minorHAnsi"/>
        </w:rPr>
        <w:t xml:space="preserve">A „magyar bankszektor áttekintése” című fejezetben ismertetett adatok alapján a HUF 18%-os, 52%-os, illetve 30%-os gyengülést mutatott az EUR-val, </w:t>
      </w:r>
      <w:proofErr w:type="spellStart"/>
      <w:r w:rsidRPr="003249D9">
        <w:rPr>
          <w:rFonts w:asciiTheme="minorHAnsi" w:hAnsiTheme="minorHAnsi"/>
        </w:rPr>
        <w:t>CHF-nak</w:t>
      </w:r>
      <w:proofErr w:type="spellEnd"/>
      <w:r w:rsidRPr="003249D9">
        <w:rPr>
          <w:rFonts w:asciiTheme="minorHAnsi" w:hAnsiTheme="minorHAnsi"/>
        </w:rPr>
        <w:t xml:space="preserve"> és </w:t>
      </w:r>
      <w:proofErr w:type="spellStart"/>
      <w:r w:rsidRPr="003249D9">
        <w:rPr>
          <w:rFonts w:asciiTheme="minorHAnsi" w:hAnsiTheme="minorHAnsi"/>
        </w:rPr>
        <w:t>USD-ral</w:t>
      </w:r>
      <w:proofErr w:type="spellEnd"/>
      <w:r w:rsidRPr="003249D9">
        <w:rPr>
          <w:rFonts w:asciiTheme="minorHAnsi" w:hAnsiTheme="minorHAnsi"/>
        </w:rPr>
        <w:t xml:space="preserve"> szemben FY08A és FY13A között. Ennek hatására a devizában kifejezett hitelek havi </w:t>
      </w:r>
      <w:proofErr w:type="spellStart"/>
      <w:r w:rsidRPr="003249D9">
        <w:rPr>
          <w:rFonts w:asciiTheme="minorHAnsi" w:hAnsiTheme="minorHAnsi"/>
        </w:rPr>
        <w:t>törlesztőrészletei</w:t>
      </w:r>
      <w:proofErr w:type="spellEnd"/>
      <w:r w:rsidRPr="003249D9">
        <w:rPr>
          <w:rFonts w:asciiTheme="minorHAnsi" w:hAnsiTheme="minorHAnsi"/>
        </w:rPr>
        <w:t xml:space="preserve"> jelentős mértékben nőttek, így komoly terhet róva a kizárólag HUF bev</w:t>
      </w:r>
      <w:r>
        <w:rPr>
          <w:rFonts w:asciiTheme="minorHAnsi" w:hAnsiTheme="minorHAnsi"/>
        </w:rPr>
        <w:t xml:space="preserve">ételű és </w:t>
      </w:r>
      <w:r w:rsidRPr="003249D9">
        <w:rPr>
          <w:rFonts w:asciiTheme="minorHAnsi" w:hAnsiTheme="minorHAnsi"/>
        </w:rPr>
        <w:t>valutát nem használó vállalatokra</w:t>
      </w:r>
    </w:p>
    <w:p w:rsidR="005F2808" w:rsidRPr="003249D9" w:rsidRDefault="005F2808" w:rsidP="005F2808">
      <w:pPr>
        <w:pStyle w:val="TASTextheading2"/>
        <w:rPr>
          <w:rFonts w:asciiTheme="minorHAnsi" w:hAnsiTheme="minorHAnsi"/>
        </w:rPr>
      </w:pPr>
      <w:r w:rsidRPr="003249D9">
        <w:rPr>
          <w:rFonts w:asciiTheme="minorHAnsi" w:hAnsiTheme="minorHAnsi"/>
        </w:rPr>
        <w:t>A devizahitelek kamatlábaiban bekövetkezett változások</w:t>
      </w:r>
    </w:p>
    <w:p w:rsidR="005F2808" w:rsidRPr="003249D9" w:rsidRDefault="005F2808" w:rsidP="005F2808">
      <w:pPr>
        <w:pStyle w:val="TASBullet1"/>
        <w:ind w:left="90"/>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785216" behindDoc="0" locked="0" layoutInCell="1" allowOverlap="1" wp14:anchorId="163285D3" wp14:editId="2B44ADB2">
                <wp:simplePos x="0" y="0"/>
                <wp:positionH relativeFrom="page">
                  <wp:posOffset>497840</wp:posOffset>
                </wp:positionH>
                <wp:positionV relativeFrom="margin">
                  <wp:posOffset>2895600</wp:posOffset>
                </wp:positionV>
                <wp:extent cx="3081655" cy="2922905"/>
                <wp:effectExtent l="0" t="0" r="4445" b="10795"/>
                <wp:wrapSquare wrapText="bothSides"/>
                <wp:docPr id="493" name="f07433405a2d42c18aa30c694a3036a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1655" cy="2922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10B" w:rsidRDefault="002D610B" w:rsidP="005F2808">
                            <w:pPr>
                              <w:pStyle w:val="TASTabletitleborder"/>
                              <w:spacing w:after="20"/>
                            </w:pPr>
                            <w:r>
                              <w:t>Az újonnan kibocsátott, EUR-ban denominált EUR-alapú vállalati hitelek kamatlábai és kamatkülönbözetei</w:t>
                            </w:r>
                          </w:p>
                          <w:p w:rsidR="002D610B" w:rsidRDefault="002D610B" w:rsidP="005F2808">
                            <w:pPr>
                              <w:pStyle w:val="TASTablesource"/>
                            </w:pPr>
                            <w:r>
                              <w:t>Forrás: Az MNB stabilitási jelentése és az EY számítása</w:t>
                            </w:r>
                          </w:p>
                          <w:p w:rsidR="002D610B" w:rsidRDefault="002D610B" w:rsidP="005F2808">
                            <w:pPr>
                              <w:pStyle w:val="TASTablenotesheading"/>
                            </w:pPr>
                            <w:r>
                              <w:rPr>
                                <w:noProof/>
                                <w:lang w:bidi="ar-SA"/>
                              </w:rPr>
                              <w:drawing>
                                <wp:inline distT="0" distB="0" distL="0" distR="0" wp14:anchorId="27492262" wp14:editId="3BB8E098">
                                  <wp:extent cx="3078388" cy="2516397"/>
                                  <wp:effectExtent l="0" t="0" r="8255" b="0"/>
                                  <wp:docPr id="50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78388" cy="2516397"/>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f07433405a2d42c18aa30c694a3036a6" o:spid="_x0000_s1043" style="position:absolute;left:0;text-align:left;margin-left:39.2pt;margin-top:228pt;width:242.65pt;height:230.15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" filled="f" stroked="f">
                <v:textbox style="mso-fit-shape-to-text:t" inset="0,0,0,0">
                  <w:txbxContent>
                    <w:p w:rsidR="002D610B" w:rsidRDefault="002D610B" w:rsidP="005F2808">
                      <w:pPr>
                        <w:pStyle w:val="TASTabletitleborder"/>
                        <w:spacing w:after="20"/>
                      </w:pPr>
                      <w:r>
                        <w:t>Az újonnan kibocsátott, EUR-ban denominált EUR-alapú vállalati hitelek kamatlábai és kamatkülönbözetei</w:t>
                      </w:r>
                    </w:p>
                    <w:p w:rsidR="002D610B" w:rsidRDefault="002D610B" w:rsidP="005F2808">
                      <w:pPr>
                        <w:pStyle w:val="TASTablesource"/>
                      </w:pPr>
                      <w:r>
                        <w:t>Forrás: Az MNB stabilitási jelentése és az EY számítása</w:t>
                      </w:r>
                    </w:p>
                    <w:p w:rsidR="002D610B" w:rsidRDefault="002D610B" w:rsidP="005F2808">
                      <w:pPr>
                        <w:pStyle w:val="TASTablenotesheading"/>
                      </w:pPr>
                      <w:r>
                        <w:rPr>
                          <w:noProof/>
                          <w:lang w:bidi="ar-SA"/>
                        </w:rPr>
                        <w:drawing>
                          <wp:inline distT="0" distB="0" distL="0" distR="0" wp14:anchorId="27492262" wp14:editId="3BB8E098">
                            <wp:extent cx="3078388" cy="2516397"/>
                            <wp:effectExtent l="0" t="0" r="8255" b="0"/>
                            <wp:docPr id="50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78388" cy="2516397"/>
                                    </a:xfrm>
                                    <a:prstGeom prst="rect">
                                      <a:avLst/>
                                    </a:prstGeom>
                                    <a:noFill/>
                                    <a:ln>
                                      <a:noFill/>
                                    </a:ln>
                                  </pic:spPr>
                                </pic:pic>
                              </a:graphicData>
                            </a:graphic>
                          </wp:inline>
                        </w:drawing>
                      </w:r>
                    </w:p>
                  </w:txbxContent>
                </v:textbox>
                <w10:wrap type="square" anchorx="page" anchory="margin"/>
              </v:rect>
            </w:pict>
          </mc:Fallback>
        </mc:AlternateContent>
      </w:r>
      <w:r>
        <w:rPr>
          <w:rFonts w:asciiTheme="minorHAnsi" w:hAnsiTheme="minorHAnsi"/>
          <w:noProof/>
          <w:lang w:bidi="ar-SA"/>
        </w:rPr>
        <mc:AlternateContent>
          <mc:Choice Requires="wps">
            <w:drawing>
              <wp:anchor distT="0" distB="0" distL="114300" distR="114300" simplePos="0" relativeHeight="251783168" behindDoc="0" locked="0" layoutInCell="1" allowOverlap="1" wp14:anchorId="04C8486E" wp14:editId="128F515F">
                <wp:simplePos x="0" y="0"/>
                <wp:positionH relativeFrom="column">
                  <wp:posOffset>0</wp:posOffset>
                </wp:positionH>
                <wp:positionV relativeFrom="paragraph">
                  <wp:posOffset>0</wp:posOffset>
                </wp:positionV>
                <wp:extent cx="635000" cy="635000"/>
                <wp:effectExtent l="0" t="0" r="0" b="0"/>
                <wp:wrapNone/>
                <wp:docPr id="494" name="6ef7380400974c248644ff47c963948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rsidR="002D610B" w:rsidRDefault="002D610B" w:rsidP="005F28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6ef7380400974c248644ff47c9639486" o:spid="_x0000_s1044" style="position:absolute;left:0;text-align:left;margin-left:0;margin-top:0;width:50pt;height:50pt;z-index:251783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">
                <o:lock v:ext="edit" selection="t"/>
                <v:textbox>
                  <w:txbxContent>
                    <w:p w:rsidR="002D610B" w:rsidRDefault="002D610B" w:rsidP="005F2808">
                      <w:pPr>
                        <w:jc w:val="center"/>
                      </w:pPr>
                    </w:p>
                  </w:txbxContent>
                </v:textbox>
              </v:rect>
            </w:pict>
          </mc:Fallback>
        </mc:AlternateContent>
      </w:r>
      <w:r w:rsidRPr="003249D9">
        <w:t>A FY05A-hoz képest megkétszereződött kamatkülönbözet (1,3% May05A-ban, 2,6% Feb14A-ban) miatt az újonnan kibocsátott vállalati hitelek átlagos kamatlábai csak kis mértékben, a May05A-ban jegyzett 3,4%-ról Feb14A-ban</w:t>
      </w:r>
      <w:r>
        <w:t xml:space="preserve"> </w:t>
      </w:r>
      <w:r w:rsidRPr="003249D9">
        <w:t>jegyzett 2,9%-ra.</w:t>
      </w:r>
      <w:r w:rsidRPr="003249D9">
        <w:rPr>
          <w:rFonts w:asciiTheme="minorHAnsi" w:hAnsiTheme="minorHAnsi"/>
        </w:rPr>
        <w:t xml:space="preserve"> Az EUR-ban denominált nem folyószámlahitelek</w:t>
      </w:r>
      <w:r>
        <w:rPr>
          <w:rFonts w:asciiTheme="minorHAnsi" w:hAnsiTheme="minorHAnsi"/>
        </w:rPr>
        <w:t xml:space="preserve"> </w:t>
      </w:r>
      <w:r w:rsidRPr="003249D9">
        <w:rPr>
          <w:rFonts w:asciiTheme="minorHAnsi" w:hAnsiTheme="minorHAnsi"/>
        </w:rPr>
        <w:t xml:space="preserve">kamatlábainak és kamatkülönbözeteinek alakulását az alábbi, </w:t>
      </w:r>
      <w:proofErr w:type="gramStart"/>
      <w:r w:rsidRPr="003249D9">
        <w:rPr>
          <w:rFonts w:asciiTheme="minorHAnsi" w:hAnsiTheme="minorHAnsi"/>
        </w:rPr>
        <w:t>bal oldalon</w:t>
      </w:r>
      <w:proofErr w:type="gramEnd"/>
      <w:r w:rsidRPr="003249D9">
        <w:rPr>
          <w:rFonts w:asciiTheme="minorHAnsi" w:hAnsiTheme="minorHAnsi"/>
        </w:rPr>
        <w:t xml:space="preserve"> látható táblázat mutatja be.</w:t>
      </w:r>
    </w:p>
    <w:p w:rsidR="005F2808" w:rsidRPr="003249D9" w:rsidRDefault="005F2808" w:rsidP="005F2808">
      <w:pPr>
        <w:pStyle w:val="TASTextheading2"/>
        <w:rPr>
          <w:rFonts w:asciiTheme="minorHAnsi" w:hAnsiTheme="minorHAnsi"/>
        </w:rPr>
      </w:pPr>
      <w:r w:rsidRPr="003249D9">
        <w:rPr>
          <w:rFonts w:asciiTheme="minorHAnsi" w:hAnsiTheme="minorHAnsi"/>
        </w:rPr>
        <w:t>Csökkenő vállalati nyereségek</w:t>
      </w:r>
    </w:p>
    <w:p w:rsidR="005F2808" w:rsidRPr="003249D9" w:rsidRDefault="005F2808" w:rsidP="005F2808">
      <w:pPr>
        <w:pStyle w:val="TASBullet1"/>
        <w:tabs>
          <w:tab w:val="left" w:pos="180"/>
        </w:tabs>
        <w:ind w:left="180" w:firstLine="0"/>
        <w:rPr>
          <w:rFonts w:asciiTheme="minorHAnsi" w:hAnsiTheme="minorHAnsi"/>
        </w:rPr>
      </w:pPr>
      <w:r w:rsidRPr="003249D9">
        <w:rPr>
          <w:rFonts w:asciiTheme="minorHAnsi" w:hAnsiTheme="minorHAnsi"/>
        </w:rPr>
        <w:t xml:space="preserve">A gazdasági visszaesés csökkentette a vállalatok nyereségét és számos vállalatot tett veszteségessé. Sok esetben az alacsonyabb nyereség miatt a vállalatok nem tudták kifizetni a havi </w:t>
      </w:r>
      <w:proofErr w:type="spellStart"/>
      <w:r w:rsidRPr="003249D9">
        <w:rPr>
          <w:rFonts w:asciiTheme="minorHAnsi" w:hAnsiTheme="minorHAnsi"/>
        </w:rPr>
        <w:t>törlesztőrészleteket</w:t>
      </w:r>
      <w:proofErr w:type="spellEnd"/>
      <w:r w:rsidRPr="003249D9">
        <w:rPr>
          <w:rFonts w:asciiTheme="minorHAnsi" w:hAnsiTheme="minorHAnsi"/>
        </w:rPr>
        <w:t>. A visszaesés hatására számos hitelt szüntettek be vagy strukturáltak át az elmúlt évek folyamán.</w:t>
      </w:r>
    </w:p>
    <w:p w:rsidR="005F2808" w:rsidRPr="003249D9" w:rsidRDefault="005F2808" w:rsidP="005F2808">
      <w:pPr>
        <w:pStyle w:val="TASTextheading2"/>
        <w:rPr>
          <w:rFonts w:asciiTheme="minorHAnsi" w:hAnsiTheme="minorHAnsi"/>
        </w:rPr>
      </w:pPr>
      <w:r w:rsidRPr="003249D9">
        <w:rPr>
          <w:rFonts w:asciiTheme="minorHAnsi" w:hAnsiTheme="minorHAnsi"/>
        </w:rPr>
        <w:t>Csökkenő ingatlanárak</w:t>
      </w:r>
      <w:r>
        <w:rPr>
          <w:rFonts w:asciiTheme="minorHAnsi" w:hAnsiTheme="minorHAnsi"/>
          <w:noProof/>
          <w:lang w:bidi="ar-SA"/>
        </w:rPr>
        <mc:AlternateContent>
          <mc:Choice Requires="wps">
            <w:drawing>
              <wp:anchor distT="0" distB="0" distL="114300" distR="114300" simplePos="0" relativeHeight="251784192" behindDoc="0" locked="0" layoutInCell="1" allowOverlap="1" wp14:anchorId="1F315FD6" wp14:editId="443662AB">
                <wp:simplePos x="0" y="0"/>
                <wp:positionH relativeFrom="column">
                  <wp:posOffset>0</wp:posOffset>
                </wp:positionH>
                <wp:positionV relativeFrom="paragraph">
                  <wp:posOffset>0</wp:posOffset>
                </wp:positionV>
                <wp:extent cx="635000" cy="635000"/>
                <wp:effectExtent l="0" t="0" r="0" b="0"/>
                <wp:wrapNone/>
                <wp:docPr id="496" name="a5949a6ec1cd4f83ade4ad24d415859e"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rsidR="002D610B" w:rsidRDefault="002D610B" w:rsidP="005F28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5949a6ec1cd4f83ade4ad24d415859e" o:spid="_x0000_s1045" style="position:absolute;margin-left:0;margin-top:0;width:50pt;height:50pt;z-index:251784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">
                <o:lock v:ext="edit" selection="t"/>
                <v:textbox>
                  <w:txbxContent>
                    <w:p w:rsidR="002D610B" w:rsidRDefault="002D610B" w:rsidP="005F2808">
                      <w:pPr>
                        <w:jc w:val="center"/>
                      </w:pPr>
                    </w:p>
                  </w:txbxContent>
                </v:textbox>
              </v:rect>
            </w:pict>
          </mc:Fallback>
        </mc:AlternateContent>
      </w:r>
    </w:p>
    <w:p w:rsidR="005F2808" w:rsidRPr="003249D9" w:rsidRDefault="005F2808" w:rsidP="005F2808">
      <w:pPr>
        <w:pStyle w:val="TASBullet1"/>
        <w:tabs>
          <w:tab w:val="left" w:pos="180"/>
        </w:tabs>
        <w:ind w:left="180" w:firstLine="0"/>
        <w:rPr>
          <w:rFonts w:asciiTheme="minorHAnsi" w:hAnsiTheme="minorHAnsi"/>
        </w:rPr>
      </w:pPr>
      <w:r w:rsidRPr="003249D9">
        <w:rPr>
          <w:rFonts w:asciiTheme="minorHAnsi" w:hAnsiTheme="minorHAnsi"/>
        </w:rPr>
        <w:t xml:space="preserve">A vállalatok és projektek finanszírozása érdekében a legtöbb esetben ingatlanfedezetet vesznek igénybe, mivel a hitelszerződéseket jellemzően meglehetősen kis mozgástérrel kötötték meg. A gyengülő HUF és csökkenő ingatlanárak mellett az </w:t>
      </w:r>
      <w:proofErr w:type="spellStart"/>
      <w:r w:rsidRPr="003249D9">
        <w:rPr>
          <w:rFonts w:asciiTheme="minorHAnsi" w:hAnsiTheme="minorHAnsi"/>
        </w:rPr>
        <w:t>LTV-k</w:t>
      </w:r>
      <w:proofErr w:type="spellEnd"/>
      <w:r w:rsidRPr="003249D9">
        <w:rPr>
          <w:rFonts w:asciiTheme="minorHAnsi" w:hAnsiTheme="minorHAnsi"/>
        </w:rPr>
        <w:t xml:space="preserve"> jelentős növekedést mutattak, amely negatív hatást fejtett ki mind a bankokra, mind a vállalatokra.</w:t>
      </w:r>
    </w:p>
    <w:p w:rsidR="005F2808" w:rsidRPr="003249D9" w:rsidRDefault="005F2808" w:rsidP="005F2808">
      <w:pPr>
        <w:pStyle w:val="TASTextheading2"/>
        <w:rPr>
          <w:rFonts w:asciiTheme="minorHAnsi" w:hAnsiTheme="minorHAnsi"/>
        </w:rPr>
      </w:pPr>
      <w:r w:rsidRPr="003249D9">
        <w:rPr>
          <w:rFonts w:asciiTheme="minorHAnsi" w:hAnsiTheme="minorHAnsi"/>
        </w:rPr>
        <w:t>A fogyasztás visszaesése</w:t>
      </w:r>
    </w:p>
    <w:p w:rsidR="005F2808" w:rsidRPr="003249D9" w:rsidRDefault="005F2808" w:rsidP="005F2808">
      <w:pPr>
        <w:pStyle w:val="TASBullet1"/>
        <w:tabs>
          <w:tab w:val="left" w:pos="180"/>
          <w:tab w:val="left" w:pos="540"/>
        </w:tabs>
        <w:ind w:left="180" w:firstLine="0"/>
        <w:rPr>
          <w:rFonts w:asciiTheme="minorHAnsi" w:hAnsiTheme="minorHAnsi"/>
        </w:rPr>
      </w:pPr>
      <w:r w:rsidRPr="003249D9">
        <w:rPr>
          <w:rFonts w:asciiTheme="minorHAnsi" w:hAnsiTheme="minorHAnsi"/>
        </w:rPr>
        <w:t xml:space="preserve">A háztartások fogyasztása a növekvő munkanélküliség és csökkenő fizetések miatt visszaesett. A visszaesett kereslet arra kényszerítette a vállalatokat, hogy csökkentsék termelésüket/termékeik árát és a bérleti díjakat, amelyek a részletfizetés elsődleges forrásaiként szolgáltak. Az ingatlanokhoz kapcsolódó projektfinanszírozás tekintetében számos projektet nem fejeztek be vagy befejezésüket követően nem tudtak értékesíteni, amely a hitelfelvevőket </w:t>
      </w:r>
      <w:proofErr w:type="spellStart"/>
      <w:r w:rsidRPr="003249D9">
        <w:rPr>
          <w:rFonts w:asciiTheme="minorHAnsi" w:hAnsiTheme="minorHAnsi"/>
        </w:rPr>
        <w:t>nemteljesítő</w:t>
      </w:r>
      <w:proofErr w:type="spellEnd"/>
      <w:r w:rsidRPr="003249D9">
        <w:rPr>
          <w:rFonts w:asciiTheme="minorHAnsi" w:hAnsiTheme="minorHAnsi"/>
        </w:rPr>
        <w:t xml:space="preserve"> státuszba kényszerítette.</w:t>
      </w:r>
    </w:p>
    <w:p w:rsidR="005F2808" w:rsidRPr="003249D9" w:rsidRDefault="005F2808" w:rsidP="005F2808">
      <w:pPr>
        <w:pStyle w:val="TASTextheading2"/>
        <w:rPr>
          <w:rFonts w:asciiTheme="minorHAnsi" w:hAnsiTheme="minorHAnsi"/>
        </w:rPr>
      </w:pPr>
      <w:r w:rsidRPr="003249D9">
        <w:rPr>
          <w:rFonts w:asciiTheme="minorHAnsi" w:hAnsiTheme="minorHAnsi"/>
        </w:rPr>
        <w:t>Változások az adókörnyezetben</w:t>
      </w:r>
    </w:p>
    <w:p w:rsidR="005F2808" w:rsidRPr="003249D9" w:rsidRDefault="005F2808" w:rsidP="005F2808">
      <w:pPr>
        <w:pStyle w:val="TASBullet1"/>
        <w:numPr>
          <w:ilvl w:val="0"/>
          <w:numId w:val="26"/>
        </w:numPr>
        <w:rPr>
          <w:rFonts w:asciiTheme="minorHAnsi" w:hAnsiTheme="minorHAnsi"/>
        </w:rPr>
      </w:pPr>
      <w:r w:rsidRPr="003249D9">
        <w:rPr>
          <w:rFonts w:asciiTheme="minorHAnsi" w:hAnsiTheme="minorHAnsi"/>
        </w:rPr>
        <w:t xml:space="preserve">A megnövekedett munkanélküliség és a szociális átutalások (pl. munkanélküli segély) jelentős csökkenése a költségvetési hiány növekedéséhez vezetett. Az állami adósság számottevő növekedésének megakadályozása érdekében a kormány </w:t>
      </w:r>
      <w:proofErr w:type="spellStart"/>
      <w:r w:rsidRPr="003249D9">
        <w:rPr>
          <w:rFonts w:asciiTheme="minorHAnsi" w:hAnsiTheme="minorHAnsi"/>
        </w:rPr>
        <w:t>szektorális</w:t>
      </w:r>
      <w:proofErr w:type="spellEnd"/>
      <w:r w:rsidRPr="003249D9">
        <w:rPr>
          <w:rFonts w:asciiTheme="minorHAnsi" w:hAnsiTheme="minorHAnsi"/>
        </w:rPr>
        <w:t xml:space="preserve"> adókat vetett ki a pénzintézetekre, távközlési vállalatokra és kereskedelmi vállalatokra. </w:t>
      </w:r>
    </w:p>
    <w:p w:rsidR="005F2808" w:rsidRPr="003249D9" w:rsidRDefault="005F2808" w:rsidP="005F2808">
      <w:pPr>
        <w:pStyle w:val="TASBodytext"/>
        <w:rPr>
          <w:rFonts w:asciiTheme="minorHAnsi" w:hAnsiTheme="minorHAnsi"/>
        </w:rPr>
      </w:pPr>
    </w:p>
    <w:p w:rsidR="005F2808" w:rsidRPr="003249D9" w:rsidRDefault="005F2808" w:rsidP="005F2808">
      <w:pPr>
        <w:pStyle w:val="TASBodytext"/>
        <w:rPr>
          <w:rFonts w:asciiTheme="minorHAnsi" w:hAnsiTheme="minorHAnsi"/>
        </w:rPr>
        <w:sectPr w:rsidR="005F2808" w:rsidRPr="003249D9">
          <w:headerReference w:type="default" r:id="rId47"/>
          <w:footerReference w:type="default" r:id="rId48"/>
          <w:pgSz w:w="11907" w:h="16839" w:code="9"/>
          <w:pgMar w:top="2304" w:right="792" w:bottom="1022" w:left="792" w:header="605" w:footer="706" w:gutter="0"/>
          <w:cols w:space="720"/>
          <w:docGrid w:linePitch="360"/>
        </w:sectPr>
      </w:pPr>
    </w:p>
    <w:p w:rsidR="005F2808" w:rsidRPr="003249D9" w:rsidRDefault="005F2808" w:rsidP="005F2808">
      <w:pPr>
        <w:pStyle w:val="TASStraplinefirst"/>
        <w:framePr w:wrap="notBeside"/>
        <w:rPr>
          <w:rFonts w:asciiTheme="minorHAnsi" w:hAnsiTheme="minorHAnsi"/>
        </w:rPr>
      </w:pPr>
      <w:r w:rsidRPr="003249D9">
        <w:rPr>
          <w:rFonts w:asciiTheme="minorHAnsi" w:hAnsiTheme="minorHAnsi"/>
        </w:rPr>
        <w:lastRenderedPageBreak/>
        <w:t>Az NPL hitelek aktuálisan meghatározó mutatói vezetőségi interjúk alapján</w:t>
      </w:r>
    </w:p>
    <w:p w:rsidR="005F2808" w:rsidRPr="003249D9" w:rsidRDefault="005F2808" w:rsidP="005F2808">
      <w:pPr>
        <w:pStyle w:val="TASTextheading1"/>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786240" behindDoc="0" locked="0" layoutInCell="1" allowOverlap="1" wp14:anchorId="7574105C" wp14:editId="00A49C40">
                <wp:simplePos x="0" y="0"/>
                <wp:positionH relativeFrom="column">
                  <wp:posOffset>0</wp:posOffset>
                </wp:positionH>
                <wp:positionV relativeFrom="paragraph">
                  <wp:posOffset>0</wp:posOffset>
                </wp:positionV>
                <wp:extent cx="635000" cy="635000"/>
                <wp:effectExtent l="0" t="0" r="0" b="0"/>
                <wp:wrapNone/>
                <wp:docPr id="497" name="5d735516040c4da6a15e7e23e17437a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rsidR="002D610B" w:rsidRDefault="002D610B" w:rsidP="005F28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5d735516040c4da6a15e7e23e17437a9" o:spid="_x0000_s1046" style="position:absolute;margin-left:0;margin-top:0;width:50pt;height:50pt;z-index:251786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">
                <o:lock v:ext="edit" selection="t"/>
                <v:textbox>
                  <w:txbxContent>
                    <w:p w:rsidR="002D610B" w:rsidRDefault="002D610B" w:rsidP="005F2808">
                      <w:pPr>
                        <w:jc w:val="center"/>
                      </w:pPr>
                    </w:p>
                  </w:txbxContent>
                </v:textbox>
              </v:rect>
            </w:pict>
          </mc:Fallback>
        </mc:AlternateContent>
      </w:r>
      <w:r w:rsidRPr="003249D9">
        <w:rPr>
          <w:rFonts w:asciiTheme="minorHAnsi" w:hAnsiTheme="minorHAnsi"/>
        </w:rPr>
        <w:t>Főbb tényezők vállalati ügyfelek szerint</w:t>
      </w:r>
      <w:r>
        <w:rPr>
          <w:rFonts w:asciiTheme="minorHAnsi" w:hAnsiTheme="minorHAnsi"/>
          <w:noProof/>
          <w:lang w:bidi="ar-SA"/>
        </w:rPr>
        <mc:AlternateContent>
          <mc:Choice Requires="wps">
            <w:drawing>
              <wp:anchor distT="0" distB="0" distL="114300" distR="114300" simplePos="0" relativeHeight="251794432" behindDoc="0" locked="0" layoutInCell="1" allowOverlap="1" wp14:anchorId="460AFC45" wp14:editId="2E7CC5AD">
                <wp:simplePos x="0" y="0"/>
                <wp:positionH relativeFrom="page">
                  <wp:posOffset>502920</wp:posOffset>
                </wp:positionH>
                <wp:positionV relativeFrom="margin">
                  <wp:posOffset>0</wp:posOffset>
                </wp:positionV>
                <wp:extent cx="2039112" cy="914400"/>
                <wp:effectExtent l="0" t="0" r="0" b="0"/>
                <wp:wrapSquare wrapText="bothSides"/>
                <wp:docPr id="498" name="Text Box 498"/>
                <wp:cNvGraphicFramePr/>
                <a:graphic xmlns:a="http://schemas.openxmlformats.org/drawingml/2006/main">
                  <a:graphicData uri="http://schemas.microsoft.com/office/word/2010/wordprocessingShape">
                    <wps:wsp>
                      <wps:cNvSpPr txBox="1"/>
                      <wps:spPr>
                        <a:xfrm>
                          <a:off x="0" y="0"/>
                          <a:ext cx="2039112" cy="9144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2D610B" w:rsidRDefault="002D610B" w:rsidP="005F2808">
                            <w:pPr>
                              <w:pStyle w:val="TASTabletitleborder"/>
                              <w:spacing w:before="20" w:after="20"/>
                            </w:pPr>
                            <w:r>
                              <w:t xml:space="preserve">A vállalati </w:t>
                            </w:r>
                            <w:proofErr w:type="spellStart"/>
                            <w:r>
                              <w:t>NPL-ek</w:t>
                            </w:r>
                            <w:proofErr w:type="spellEnd"/>
                            <w:r>
                              <w:t xml:space="preserve"> tényezői</w:t>
                            </w:r>
                          </w:p>
                          <w:p w:rsidR="002D610B" w:rsidRDefault="002D610B" w:rsidP="005F2808">
                            <w:pPr>
                              <w:pStyle w:val="TASTablesource"/>
                            </w:pPr>
                            <w:proofErr w:type="spellStart"/>
                            <w:r>
                              <w:t>Source</w:t>
                            </w:r>
                            <w:proofErr w:type="spellEnd"/>
                            <w:r>
                              <w:t>: Vezetőségtől származó információ</w:t>
                            </w:r>
                          </w:p>
                          <w:p w:rsidR="002D610B" w:rsidRPr="00065B5E" w:rsidRDefault="002D610B" w:rsidP="005F2808">
                            <w:pPr>
                              <w:pStyle w:val="TASTabletext"/>
                            </w:pPr>
                            <w:r w:rsidRPr="00065B5E">
                              <w:rPr>
                                <w:noProof/>
                                <w:lang w:bidi="ar-SA"/>
                              </w:rPr>
                              <w:drawing>
                                <wp:inline distT="0" distB="0" distL="0" distR="0" wp14:anchorId="342D4AFF" wp14:editId="48A2ECB5">
                                  <wp:extent cx="2038840" cy="3587076"/>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38840" cy="3587076"/>
                                          </a:xfrm>
                                          <a:prstGeom prst="rect">
                                            <a:avLst/>
                                          </a:prstGeom>
                                          <a:noFill/>
                                          <a:ln>
                                            <a:noFill/>
                                          </a:ln>
                                        </pic:spPr>
                                      </pic:pic>
                                    </a:graphicData>
                                  </a:graphic>
                                </wp:inline>
                              </w:drawing>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98" o:spid="_x0000_s1047" type="#_x0000_t202" style="position:absolute;margin-left:39.6pt;margin-top:0;width:160.55pt;height:1in;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" filled="f" stroked="f" strokeweight=".5pt">
                <v:textbox style="mso-fit-shape-to-text:t" inset="0">
                  <w:txbxContent>
                    <w:p w:rsidR="002D610B" w:rsidRDefault="002D610B" w:rsidP="005F2808">
                      <w:pPr>
                        <w:pStyle w:val="TASTabletitleborder"/>
                        <w:spacing w:before="20" w:after="20"/>
                      </w:pPr>
                      <w:r>
                        <w:t xml:space="preserve">A vállalati </w:t>
                      </w:r>
                      <w:proofErr w:type="spellStart"/>
                      <w:r>
                        <w:t>NPL-ek</w:t>
                      </w:r>
                      <w:proofErr w:type="spellEnd"/>
                      <w:r>
                        <w:t xml:space="preserve"> tényezői</w:t>
                      </w:r>
                    </w:p>
                    <w:p w:rsidR="002D610B" w:rsidRDefault="002D610B" w:rsidP="005F2808">
                      <w:pPr>
                        <w:pStyle w:val="TASTablesource"/>
                      </w:pPr>
                      <w:proofErr w:type="spellStart"/>
                      <w:r>
                        <w:t>Source</w:t>
                      </w:r>
                      <w:proofErr w:type="spellEnd"/>
                      <w:r>
                        <w:t>: Vezetőségtől származó információ</w:t>
                      </w:r>
                    </w:p>
                    <w:p w:rsidR="002D610B" w:rsidRPr="00065B5E" w:rsidRDefault="002D610B" w:rsidP="005F2808">
                      <w:pPr>
                        <w:pStyle w:val="TASTabletext"/>
                      </w:pPr>
                      <w:r w:rsidRPr="00065B5E">
                        <w:rPr>
                          <w:noProof/>
                          <w:lang w:bidi="ar-SA"/>
                        </w:rPr>
                        <w:drawing>
                          <wp:inline distT="0" distB="0" distL="0" distR="0" wp14:anchorId="342D4AFF" wp14:editId="48A2ECB5">
                            <wp:extent cx="2038840" cy="3587076"/>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38840" cy="3587076"/>
                                    </a:xfrm>
                                    <a:prstGeom prst="rect">
                                      <a:avLst/>
                                    </a:prstGeom>
                                    <a:noFill/>
                                    <a:ln>
                                      <a:noFill/>
                                    </a:ln>
                                  </pic:spPr>
                                </pic:pic>
                              </a:graphicData>
                            </a:graphic>
                          </wp:inline>
                        </w:drawing>
                      </w:r>
                    </w:p>
                  </w:txbxContent>
                </v:textbox>
                <w10:wrap type="square" anchorx="page" anchory="margin"/>
              </v:shape>
            </w:pict>
          </mc:Fallback>
        </mc:AlternateContent>
      </w:r>
    </w:p>
    <w:p w:rsidR="005F2808" w:rsidRPr="003249D9" w:rsidRDefault="005F2808" w:rsidP="005F2808">
      <w:pPr>
        <w:pStyle w:val="TASBullet1"/>
        <w:ind w:left="90"/>
        <w:rPr>
          <w:rFonts w:asciiTheme="minorHAnsi" w:hAnsiTheme="minorHAnsi"/>
        </w:rPr>
      </w:pPr>
      <w:r w:rsidRPr="003249D9">
        <w:rPr>
          <w:rFonts w:asciiTheme="minorHAnsi" w:hAnsiTheme="minorHAnsi"/>
        </w:rPr>
        <w:t xml:space="preserve">A tanácsadó csapattal folytatott interjúk során a bankok számos, </w:t>
      </w:r>
      <w:proofErr w:type="spellStart"/>
      <w:r w:rsidRPr="003249D9">
        <w:rPr>
          <w:rFonts w:asciiTheme="minorHAnsi" w:hAnsiTheme="minorHAnsi"/>
        </w:rPr>
        <w:t>NPL-t</w:t>
      </w:r>
      <w:proofErr w:type="spellEnd"/>
      <w:r w:rsidRPr="003249D9">
        <w:rPr>
          <w:rFonts w:asciiTheme="minorHAnsi" w:hAnsiTheme="minorHAnsi"/>
        </w:rPr>
        <w:t xml:space="preserve"> növelő mutatószámot azonosítottak be. Egyes tényezők rendszeresen, minden megbeszélésen előkerültek, de voltak egyéni tényezők, amelyekről csak egy bank tett említést. Az egyes bankokat érintő egyéni tényezőket nem mutatjuk be, mivel az EY kizárólag szektor-specifikus, nem pedig egyéni akadályozó tényezők gyűjtésére törekedett.</w:t>
      </w:r>
    </w:p>
    <w:p w:rsidR="005F2808" w:rsidRPr="003249D9" w:rsidRDefault="005F2808" w:rsidP="005F2808">
      <w:pPr>
        <w:pStyle w:val="TASBullet1"/>
        <w:ind w:left="90"/>
        <w:rPr>
          <w:rFonts w:asciiTheme="minorHAnsi" w:hAnsiTheme="minorHAnsi"/>
        </w:rPr>
      </w:pPr>
      <w:r w:rsidRPr="003249D9">
        <w:rPr>
          <w:rFonts w:asciiTheme="minorHAnsi" w:hAnsiTheme="minorHAnsi"/>
        </w:rPr>
        <w:t xml:space="preserve">A több bank által említett, vállalati </w:t>
      </w:r>
      <w:proofErr w:type="spellStart"/>
      <w:r w:rsidRPr="003249D9">
        <w:rPr>
          <w:rFonts w:asciiTheme="minorHAnsi" w:hAnsiTheme="minorHAnsi"/>
        </w:rPr>
        <w:t>NPL-ek</w:t>
      </w:r>
      <w:proofErr w:type="spellEnd"/>
      <w:r w:rsidRPr="003249D9">
        <w:rPr>
          <w:rFonts w:asciiTheme="minorHAnsi" w:hAnsiTheme="minorHAnsi"/>
        </w:rPr>
        <w:t xml:space="preserve"> növekedését okozó főbb tényezők az alábbiak:</w:t>
      </w:r>
    </w:p>
    <w:p w:rsidR="005F2808" w:rsidRPr="003249D9" w:rsidRDefault="005F2808" w:rsidP="005F2808">
      <w:pPr>
        <w:pStyle w:val="TASBullet2"/>
        <w:tabs>
          <w:tab w:val="left" w:pos="270"/>
        </w:tabs>
        <w:ind w:left="180" w:firstLine="0"/>
        <w:rPr>
          <w:rFonts w:asciiTheme="minorHAnsi" w:hAnsiTheme="minorHAnsi"/>
        </w:rPr>
      </w:pPr>
      <w:r w:rsidRPr="003249D9">
        <w:rPr>
          <w:rFonts w:asciiTheme="minorHAnsi" w:hAnsiTheme="minorHAnsi"/>
        </w:rPr>
        <w:t xml:space="preserve">A globális pénzügyi válság következtében a magyarországi átfogó gazdasági helyzet igencsak kedvezőtlen (stagnáló belső fogyasztás, visszaesett befektetések). A fellendülés jeleit ugyanakkor már Q114A-ban tapasztalhatták a bankok. A vállalati hitelek várhatóan gyorsabb ütemben állnak helyre, az ingatlanfedezetű hitelek esetén ugyanakkor hosszabb lábadozási idővel kell számolni. A bankok különböző </w:t>
      </w:r>
      <w:proofErr w:type="spellStart"/>
      <w:r w:rsidRPr="003249D9">
        <w:rPr>
          <w:rFonts w:asciiTheme="minorHAnsi" w:hAnsiTheme="minorHAnsi"/>
        </w:rPr>
        <w:t>restrukturálási</w:t>
      </w:r>
      <w:proofErr w:type="spellEnd"/>
      <w:r w:rsidRPr="003249D9">
        <w:rPr>
          <w:rFonts w:asciiTheme="minorHAnsi" w:hAnsiTheme="minorHAnsi"/>
        </w:rPr>
        <w:t xml:space="preserve"> intézkedéseket alkalmaznak a válság hatásainak tompítása érdekében.</w:t>
      </w:r>
    </w:p>
    <w:p w:rsidR="005F2808" w:rsidRPr="003249D9" w:rsidRDefault="005F2808" w:rsidP="005F2808">
      <w:pPr>
        <w:pStyle w:val="TASBullet2"/>
        <w:tabs>
          <w:tab w:val="left" w:pos="270"/>
        </w:tabs>
        <w:ind w:left="180" w:firstLine="0"/>
        <w:rPr>
          <w:rFonts w:asciiTheme="minorHAnsi" w:hAnsiTheme="minorHAnsi"/>
        </w:rPr>
      </w:pPr>
      <w:r w:rsidRPr="003249D9">
        <w:rPr>
          <w:rFonts w:asciiTheme="minorHAnsi" w:hAnsiTheme="minorHAnsi"/>
        </w:rPr>
        <w:t xml:space="preserve">A túlhitelezés és a spekulatív eszközök finanszírozása a legtöbb bank szerint a jelenlegi, </w:t>
      </w:r>
      <w:proofErr w:type="spellStart"/>
      <w:r w:rsidRPr="003249D9">
        <w:rPr>
          <w:rFonts w:asciiTheme="minorHAnsi" w:hAnsiTheme="minorHAnsi"/>
        </w:rPr>
        <w:t>NPL-ek</w:t>
      </w:r>
      <w:proofErr w:type="spellEnd"/>
      <w:r w:rsidRPr="003249D9">
        <w:rPr>
          <w:rFonts w:asciiTheme="minorHAnsi" w:hAnsiTheme="minorHAnsi"/>
        </w:rPr>
        <w:t xml:space="preserve"> jelentette helyzet legfőbb kiváltói. Két bank tett említést arról, hogy a vállalati/projekthitelek nagy részét FY06A-FY08A között helyezték ki, amikor az eszközök ára (különösen az ingatlanoké) magas volt, és a bankok azzal számoltak, hogy a gazdasági növekedés fenntartható lesz.</w:t>
      </w:r>
    </w:p>
    <w:p w:rsidR="005F2808" w:rsidRPr="003249D9" w:rsidRDefault="005F2808" w:rsidP="005F2808">
      <w:pPr>
        <w:pStyle w:val="TASBullet2"/>
        <w:tabs>
          <w:tab w:val="left" w:pos="270"/>
        </w:tabs>
        <w:ind w:left="180" w:firstLine="0"/>
        <w:rPr>
          <w:rFonts w:asciiTheme="minorHAnsi" w:hAnsiTheme="minorHAnsi"/>
        </w:rPr>
      </w:pPr>
      <w:r w:rsidRPr="003249D9">
        <w:rPr>
          <w:rFonts w:asciiTheme="minorHAnsi" w:hAnsiTheme="minorHAnsi"/>
        </w:rPr>
        <w:t xml:space="preserve">A devizákban bekövetkezett változások komoly szerepet játszottak a havi </w:t>
      </w:r>
      <w:proofErr w:type="spellStart"/>
      <w:r w:rsidRPr="003249D9">
        <w:rPr>
          <w:rFonts w:asciiTheme="minorHAnsi" w:hAnsiTheme="minorHAnsi"/>
        </w:rPr>
        <w:t>törlesztőrészletek</w:t>
      </w:r>
      <w:proofErr w:type="spellEnd"/>
      <w:r w:rsidRPr="003249D9">
        <w:rPr>
          <w:rFonts w:asciiTheme="minorHAnsi" w:hAnsiTheme="minorHAnsi"/>
        </w:rPr>
        <w:t xml:space="preserve"> megnövekedésében, amely egyúttal a nemfizetés legfőbb oka is. A HUF értéke az </w:t>
      </w:r>
      <w:proofErr w:type="spellStart"/>
      <w:r w:rsidRPr="003249D9">
        <w:rPr>
          <w:rFonts w:asciiTheme="minorHAnsi" w:hAnsiTheme="minorHAnsi"/>
        </w:rPr>
        <w:t>EUR-van</w:t>
      </w:r>
      <w:proofErr w:type="spellEnd"/>
      <w:r w:rsidRPr="003249D9">
        <w:rPr>
          <w:rFonts w:asciiTheme="minorHAnsi" w:hAnsiTheme="minorHAnsi"/>
        </w:rPr>
        <w:t xml:space="preserve">, </w:t>
      </w:r>
      <w:proofErr w:type="spellStart"/>
      <w:r w:rsidRPr="003249D9">
        <w:rPr>
          <w:rFonts w:asciiTheme="minorHAnsi" w:hAnsiTheme="minorHAnsi"/>
        </w:rPr>
        <w:t>CHF-nal</w:t>
      </w:r>
      <w:proofErr w:type="spellEnd"/>
      <w:r w:rsidRPr="003249D9">
        <w:rPr>
          <w:rFonts w:asciiTheme="minorHAnsi" w:hAnsiTheme="minorHAnsi"/>
        </w:rPr>
        <w:t xml:space="preserve"> és </w:t>
      </w:r>
      <w:proofErr w:type="spellStart"/>
      <w:r w:rsidRPr="003249D9">
        <w:rPr>
          <w:rFonts w:asciiTheme="minorHAnsi" w:hAnsiTheme="minorHAnsi"/>
        </w:rPr>
        <w:t>USD-ral</w:t>
      </w:r>
      <w:proofErr w:type="spellEnd"/>
      <w:r w:rsidRPr="003249D9">
        <w:rPr>
          <w:rFonts w:asciiTheme="minorHAnsi" w:hAnsiTheme="minorHAnsi"/>
        </w:rPr>
        <w:t xml:space="preserve"> szemben 18%-kal, 52%-kal, illetve 30%-kal csökkent FY08A és FY13A között. </w:t>
      </w:r>
    </w:p>
    <w:p w:rsidR="005F2808" w:rsidRPr="003249D9" w:rsidRDefault="005F2808" w:rsidP="005F2808">
      <w:pPr>
        <w:pStyle w:val="TASBullet2"/>
        <w:tabs>
          <w:tab w:val="left" w:pos="270"/>
        </w:tabs>
        <w:ind w:left="270" w:firstLine="0"/>
        <w:rPr>
          <w:rFonts w:asciiTheme="minorHAnsi" w:hAnsiTheme="minorHAnsi"/>
        </w:rPr>
      </w:pPr>
      <w:r w:rsidRPr="003249D9">
        <w:rPr>
          <w:rFonts w:asciiTheme="minorHAnsi" w:hAnsiTheme="minorHAnsi"/>
        </w:rPr>
        <w:t xml:space="preserve">Szinte valamennyi bank komoly problémaként és az </w:t>
      </w:r>
      <w:proofErr w:type="spellStart"/>
      <w:r w:rsidRPr="003249D9">
        <w:rPr>
          <w:rFonts w:asciiTheme="minorHAnsi" w:hAnsiTheme="minorHAnsi"/>
        </w:rPr>
        <w:t>NPL-ek</w:t>
      </w:r>
      <w:proofErr w:type="spellEnd"/>
      <w:r w:rsidRPr="003249D9">
        <w:rPr>
          <w:rFonts w:asciiTheme="minorHAnsi" w:hAnsiTheme="minorHAnsi"/>
        </w:rPr>
        <w:t xml:space="preserve"> megoldását akadályozó tényezőként említette a csalások megnövekedett számát („morális kockázat”). A csalások nagyobb száma jelentős mennyiségű elhúzódó bírósági tárgyaláshoz vezet, amely hátráltatja az </w:t>
      </w:r>
      <w:proofErr w:type="spellStart"/>
      <w:r w:rsidRPr="003249D9">
        <w:rPr>
          <w:rFonts w:asciiTheme="minorHAnsi" w:hAnsiTheme="minorHAnsi"/>
        </w:rPr>
        <w:t>NPL-ügyletek</w:t>
      </w:r>
      <w:proofErr w:type="spellEnd"/>
      <w:r w:rsidRPr="003249D9">
        <w:rPr>
          <w:rFonts w:asciiTheme="minorHAnsi" w:hAnsiTheme="minorHAnsi"/>
        </w:rPr>
        <w:t xml:space="preserve"> gyors lezárását. </w:t>
      </w:r>
    </w:p>
    <w:p w:rsidR="005F2808" w:rsidRPr="003249D9" w:rsidRDefault="005F2808" w:rsidP="005F2808">
      <w:pPr>
        <w:pStyle w:val="TASBullet2"/>
        <w:rPr>
          <w:rFonts w:asciiTheme="minorHAnsi" w:hAnsiTheme="minorHAnsi"/>
        </w:rPr>
      </w:pPr>
      <w:r w:rsidRPr="003249D9">
        <w:rPr>
          <w:rFonts w:asciiTheme="minorHAnsi" w:hAnsiTheme="minorHAnsi"/>
        </w:rPr>
        <w:t xml:space="preserve">Az alábbi, „Gyakorlati jogi kérdések és javaslatok” címszó alatti jogi elemzésben is rámutattunk arra, hogy a folyamatosan változó és kedvezőtlen jogi környezet az </w:t>
      </w:r>
      <w:proofErr w:type="spellStart"/>
      <w:r w:rsidRPr="003249D9">
        <w:rPr>
          <w:rFonts w:asciiTheme="minorHAnsi" w:hAnsiTheme="minorHAnsi"/>
        </w:rPr>
        <w:t>NPL-ek</w:t>
      </w:r>
      <w:proofErr w:type="spellEnd"/>
      <w:r w:rsidRPr="003249D9">
        <w:rPr>
          <w:rFonts w:asciiTheme="minorHAnsi" w:hAnsiTheme="minorHAnsi"/>
        </w:rPr>
        <w:t xml:space="preserve"> rendezésének egyik fő akadálya. Az igazságszolgáltatás folyamatai valamennyi bank megítélése szerint lassúak és nem hatékonyak. A bankok vélemény általában az, hogy a hitelezők helyzetét a hitelek </w:t>
      </w:r>
      <w:proofErr w:type="spellStart"/>
      <w:r w:rsidRPr="003249D9">
        <w:rPr>
          <w:rFonts w:asciiTheme="minorHAnsi" w:hAnsiTheme="minorHAnsi"/>
        </w:rPr>
        <w:t>restrukturálása</w:t>
      </w:r>
      <w:proofErr w:type="spellEnd"/>
      <w:r w:rsidRPr="003249D9">
        <w:rPr>
          <w:rFonts w:asciiTheme="minorHAnsi" w:hAnsiTheme="minorHAnsi"/>
        </w:rPr>
        <w:t xml:space="preserve"> és felszámolása tekintetében meg kellene erősíteni. Az aktuális problémák tekintetében a megkérdezett bankok véleményét két csoportra lehet bontani: A két vélemény:</w:t>
      </w:r>
    </w:p>
    <w:p w:rsidR="005F2808" w:rsidRPr="003249D9" w:rsidRDefault="005F2808" w:rsidP="005F2808">
      <w:pPr>
        <w:pStyle w:val="TASBulletnumber"/>
        <w:numPr>
          <w:ilvl w:val="0"/>
          <w:numId w:val="19"/>
        </w:numPr>
        <w:ind w:left="900"/>
        <w:rPr>
          <w:rFonts w:asciiTheme="minorHAnsi" w:hAnsiTheme="minorHAnsi"/>
        </w:rPr>
      </w:pPr>
      <w:r w:rsidRPr="003249D9">
        <w:rPr>
          <w:rFonts w:asciiTheme="minorHAnsi" w:hAnsiTheme="minorHAnsi"/>
        </w:rPr>
        <w:t>A jelenlegi jogi környezet nagyjából megfelelő, azonban az aktuális bírósági végrehajtási-/felszámolási-/csődeljárásokat nem a hitelező érdekét szem előtt tartva folytatják le. A hitelezők nem bírnak kellő hatással vagy befolyással a vagyonfelügyelők és felszámolók (</w:t>
      </w:r>
      <w:proofErr w:type="spellStart"/>
      <w:r w:rsidRPr="003249D9">
        <w:rPr>
          <w:rFonts w:asciiTheme="minorHAnsi" w:hAnsiTheme="minorHAnsi"/>
          <w:b/>
        </w:rPr>
        <w:t>IOH</w:t>
      </w:r>
      <w:r w:rsidRPr="003249D9">
        <w:rPr>
          <w:rFonts w:asciiTheme="minorHAnsi" w:hAnsiTheme="minorHAnsi"/>
        </w:rPr>
        <w:t>-k</w:t>
      </w:r>
      <w:proofErr w:type="spellEnd"/>
      <w:r w:rsidRPr="003249D9">
        <w:rPr>
          <w:rFonts w:asciiTheme="minorHAnsi" w:hAnsiTheme="minorHAnsi"/>
        </w:rPr>
        <w:t>) felett. Megoldást jelenthetne a felszámolók kijelölése és/vagy leváltása feletti nagyobb kontroll.</w:t>
      </w:r>
    </w:p>
    <w:p w:rsidR="005F2808" w:rsidRPr="003249D9" w:rsidRDefault="005F2808" w:rsidP="005F2808">
      <w:pPr>
        <w:pStyle w:val="TASBulletnumber"/>
        <w:numPr>
          <w:ilvl w:val="0"/>
          <w:numId w:val="1"/>
        </w:numPr>
        <w:ind w:left="864"/>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787264" behindDoc="0" locked="0" layoutInCell="1" allowOverlap="1" wp14:anchorId="03B83E4A" wp14:editId="4E3A5873">
                <wp:simplePos x="0" y="0"/>
                <wp:positionH relativeFrom="page">
                  <wp:posOffset>3787775</wp:posOffset>
                </wp:positionH>
                <wp:positionV relativeFrom="margin">
                  <wp:posOffset>6269355</wp:posOffset>
                </wp:positionV>
                <wp:extent cx="3284855" cy="1217930"/>
                <wp:effectExtent l="0" t="0" r="10795" b="1270"/>
                <wp:wrapSquare wrapText="bothSides"/>
                <wp:docPr id="499" name="3d836373dcb946aca8ba543d9f5909b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855" cy="1217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610B" w:rsidRDefault="002D610B" w:rsidP="005F2808">
                            <w:pPr>
                              <w:pStyle w:val="TASTabletitle"/>
                            </w:pPr>
                            <w:r>
                              <w:t>A megkérdezett érdekelt felek listája (a bankok kivételével)</w:t>
                            </w:r>
                          </w:p>
                          <w:tbl>
                            <w:tblPr>
                              <w:tblW w:w="4785" w:type="pct"/>
                              <w:shd w:val="clear" w:color="auto" w:fill="F0F0F0" w:themeFill="accent4"/>
                              <w:tblLayout w:type="fixed"/>
                              <w:tblCellMar>
                                <w:left w:w="0" w:type="dxa"/>
                                <w:right w:w="115" w:type="dxa"/>
                              </w:tblCellMar>
                              <w:tblLook w:val="04A0" w:firstRow="1" w:lastRow="0" w:firstColumn="1" w:lastColumn="0" w:noHBand="0" w:noVBand="1"/>
                            </w:tblPr>
                            <w:tblGrid>
                              <w:gridCol w:w="5075"/>
                            </w:tblGrid>
                            <w:tr w:rsidR="002D610B">
                              <w:tc>
                                <w:tcPr>
                                  <w:tcW w:w="5075" w:type="dxa"/>
                                  <w:tcBorders>
                                    <w:top w:val="single" w:sz="6" w:space="0" w:color="808080"/>
                                    <w:left w:val="nil"/>
                                    <w:bottom w:val="single" w:sz="4" w:space="0" w:color="808080"/>
                                    <w:right w:val="nil"/>
                                  </w:tcBorders>
                                  <w:shd w:val="clear" w:color="auto" w:fill="F0F0F0" w:themeFill="accent4"/>
                                  <w:noWrap/>
                                  <w:vAlign w:val="bottom"/>
                                  <w:hideMark/>
                                </w:tcPr>
                                <w:p w:rsidR="002D610B" w:rsidRPr="00C36089" w:rsidRDefault="002D610B" w:rsidP="00BF6ACB">
                                  <w:pPr>
                                    <w:spacing w:before="20" w:after="20" w:line="240" w:lineRule="auto"/>
                                    <w:rPr>
                                      <w:rFonts w:ascii="Arial Narrow" w:hAnsi="Arial Narrow" w:cs="Calibri"/>
                                      <w:i/>
                                      <w:iCs/>
                                      <w:color w:val="7F7E82"/>
                                      <w:sz w:val="16"/>
                                      <w:szCs w:val="20"/>
                                    </w:rPr>
                                  </w:pPr>
                                  <w:r>
                                    <w:rPr>
                                      <w:rFonts w:ascii="Arial Narrow" w:hAnsi="Arial Narrow"/>
                                      <w:i/>
                                      <w:color w:val="7F7E82"/>
                                      <w:sz w:val="16"/>
                                    </w:rPr>
                                    <w:t> </w:t>
                                  </w:r>
                                </w:p>
                              </w:tc>
                            </w:tr>
                            <w:tr w:rsidR="002D610B">
                              <w:tc>
                                <w:tcPr>
                                  <w:tcW w:w="5075" w:type="dxa"/>
                                  <w:tcBorders>
                                    <w:top w:val="nil"/>
                                    <w:left w:val="nil"/>
                                    <w:bottom w:val="nil"/>
                                    <w:right w:val="nil"/>
                                  </w:tcBorders>
                                  <w:shd w:val="clear" w:color="auto" w:fill="F0F0F0" w:themeFill="accent4"/>
                                  <w:noWrap/>
                                </w:tcPr>
                                <w:p w:rsidR="002D610B" w:rsidRPr="00DD3D1A" w:rsidRDefault="002D610B" w:rsidP="00BF6ACB">
                                  <w:pPr>
                                    <w:spacing w:before="20" w:after="20" w:line="240" w:lineRule="auto"/>
                                    <w:rPr>
                                      <w:rFonts w:ascii="Arial Narrow" w:hAnsi="Arial Narrow" w:cs="Calibri"/>
                                      <w:sz w:val="18"/>
                                      <w:szCs w:val="18"/>
                                    </w:rPr>
                                  </w:pPr>
                                  <w:r>
                                    <w:rPr>
                                      <w:rFonts w:ascii="Arial Narrow" w:hAnsi="Arial Narrow"/>
                                      <w:sz w:val="18"/>
                                    </w:rPr>
                                    <w:t xml:space="preserve"> Az eszközkészlet alapján a bankszektor 53%-át képviselő 6 bank</w:t>
                                  </w:r>
                                </w:p>
                              </w:tc>
                            </w:tr>
                            <w:tr w:rsidR="002D610B">
                              <w:tc>
                                <w:tcPr>
                                  <w:tcW w:w="5075" w:type="dxa"/>
                                  <w:tcBorders>
                                    <w:top w:val="nil"/>
                                    <w:left w:val="nil"/>
                                    <w:bottom w:val="nil"/>
                                    <w:right w:val="nil"/>
                                  </w:tcBorders>
                                  <w:shd w:val="clear" w:color="auto" w:fill="F0F0F0" w:themeFill="accent4"/>
                                  <w:noWrap/>
                                  <w:hideMark/>
                                </w:tcPr>
                                <w:p w:rsidR="002D610B" w:rsidRPr="00DD3D1A" w:rsidRDefault="002D610B" w:rsidP="00BF6ACB">
                                  <w:pPr>
                                    <w:spacing w:before="20" w:after="20" w:line="240" w:lineRule="auto"/>
                                    <w:rPr>
                                      <w:rFonts w:ascii="Arial Narrow" w:hAnsi="Arial Narrow" w:cs="Calibri"/>
                                      <w:sz w:val="18"/>
                                      <w:szCs w:val="18"/>
                                    </w:rPr>
                                  </w:pPr>
                                  <w:r>
                                    <w:rPr>
                                      <w:rFonts w:ascii="Arial Narrow" w:hAnsi="Arial Narrow"/>
                                      <w:sz w:val="18"/>
                                    </w:rPr>
                                    <w:t xml:space="preserve"> Magyar Bírósági Végrehajtói Kamara </w:t>
                                  </w:r>
                                </w:p>
                              </w:tc>
                            </w:tr>
                            <w:tr w:rsidR="002D610B">
                              <w:tc>
                                <w:tcPr>
                                  <w:tcW w:w="5075" w:type="dxa"/>
                                  <w:tcBorders>
                                    <w:top w:val="nil"/>
                                    <w:left w:val="nil"/>
                                    <w:bottom w:val="nil"/>
                                    <w:right w:val="nil"/>
                                  </w:tcBorders>
                                  <w:shd w:val="clear" w:color="auto" w:fill="F0F0F0" w:themeFill="accent4"/>
                                  <w:noWrap/>
                                  <w:hideMark/>
                                </w:tcPr>
                                <w:p w:rsidR="002D610B" w:rsidRPr="00DD3D1A" w:rsidRDefault="002D610B" w:rsidP="00BF6ACB">
                                  <w:pPr>
                                    <w:spacing w:before="20" w:after="20" w:line="240" w:lineRule="auto"/>
                                    <w:rPr>
                                      <w:rFonts w:ascii="Arial Narrow" w:hAnsi="Arial Narrow" w:cs="Calibri"/>
                                      <w:sz w:val="18"/>
                                      <w:szCs w:val="18"/>
                                    </w:rPr>
                                  </w:pPr>
                                  <w:r>
                                    <w:rPr>
                                      <w:rFonts w:ascii="Arial Narrow" w:hAnsi="Arial Narrow"/>
                                      <w:sz w:val="18"/>
                                    </w:rPr>
                                    <w:t xml:space="preserve"> Felszámolók és Vagyonfelügyelők Országos Egyesülete </w:t>
                                  </w:r>
                                </w:p>
                              </w:tc>
                            </w:tr>
                            <w:tr w:rsidR="002D610B">
                              <w:tc>
                                <w:tcPr>
                                  <w:tcW w:w="5075" w:type="dxa"/>
                                  <w:tcBorders>
                                    <w:top w:val="nil"/>
                                    <w:left w:val="nil"/>
                                    <w:bottom w:val="nil"/>
                                    <w:right w:val="nil"/>
                                  </w:tcBorders>
                                  <w:shd w:val="clear" w:color="auto" w:fill="F0F0F0" w:themeFill="accent4"/>
                                  <w:noWrap/>
                                  <w:hideMark/>
                                </w:tcPr>
                                <w:p w:rsidR="002D610B" w:rsidRPr="00DD3D1A" w:rsidRDefault="002D610B" w:rsidP="00BF6ACB">
                                  <w:pPr>
                                    <w:spacing w:before="20" w:after="20" w:line="240" w:lineRule="auto"/>
                                    <w:rPr>
                                      <w:rFonts w:ascii="Arial Narrow" w:hAnsi="Arial Narrow" w:cs="Calibri"/>
                                      <w:sz w:val="18"/>
                                      <w:szCs w:val="18"/>
                                    </w:rPr>
                                  </w:pPr>
                                  <w:r>
                                    <w:rPr>
                                      <w:rFonts w:ascii="Arial Narrow" w:hAnsi="Arial Narrow"/>
                                      <w:sz w:val="18"/>
                                    </w:rPr>
                                    <w:t xml:space="preserve"> Felszámoló bírák (Juhász László, Csőke Andrea) </w:t>
                                  </w:r>
                                </w:p>
                              </w:tc>
                            </w:tr>
                            <w:tr w:rsidR="002D610B">
                              <w:tc>
                                <w:tcPr>
                                  <w:tcW w:w="5075" w:type="dxa"/>
                                  <w:tcBorders>
                                    <w:top w:val="nil"/>
                                    <w:left w:val="nil"/>
                                    <w:bottom w:val="single" w:sz="6" w:space="0" w:color="7F7E82"/>
                                    <w:right w:val="nil"/>
                                  </w:tcBorders>
                                  <w:shd w:val="clear" w:color="auto" w:fill="F0F0F0" w:themeFill="accent4"/>
                                  <w:noWrap/>
                                  <w:hideMark/>
                                </w:tcPr>
                                <w:p w:rsidR="002D610B" w:rsidRPr="00DD3D1A" w:rsidRDefault="002D610B" w:rsidP="00BF6ACB">
                                  <w:pPr>
                                    <w:spacing w:before="20" w:after="20" w:line="240" w:lineRule="auto"/>
                                    <w:rPr>
                                      <w:rFonts w:ascii="Arial Narrow" w:hAnsi="Arial Narrow" w:cs="Calibri"/>
                                      <w:sz w:val="18"/>
                                      <w:szCs w:val="18"/>
                                    </w:rPr>
                                  </w:pPr>
                                  <w:r>
                                    <w:rPr>
                                      <w:rFonts w:ascii="Arial Narrow" w:hAnsi="Arial Narrow"/>
                                      <w:sz w:val="18"/>
                                    </w:rPr>
                                    <w:t xml:space="preserve"> Magyar Kereskedelmi és Iparkamara</w:t>
                                  </w:r>
                                </w:p>
                              </w:tc>
                            </w:tr>
                          </w:tbl>
                          <w:p w:rsidR="002D610B" w:rsidRDefault="002D610B" w:rsidP="005F2808">
                            <w:pPr>
                              <w:pStyle w:val="TASTablesource"/>
                            </w:pPr>
                            <w:r>
                              <w:t>Forrás: EY gyűjtése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3d836373dcb946aca8ba543d9f5909bd" o:spid="_x0000_s1048" style="position:absolute;left:0;text-align:left;margin-left:298.25pt;margin-top:493.65pt;width:258.65pt;height:95.9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" filled="f" stroked="f">
                <v:textbox style="mso-fit-shape-to-text:t" inset="0,0,0,0">
                  <w:txbxContent>
                    <w:p w:rsidR="002D610B" w:rsidRDefault="002D610B" w:rsidP="005F2808">
                      <w:pPr>
                        <w:pStyle w:val="TASTabletitle"/>
                      </w:pPr>
                      <w:r>
                        <w:t>A megkérdezett érdekelt felek listája (a bankok kivételével)</w:t>
                      </w:r>
                    </w:p>
                    <w:tbl>
                      <w:tblPr>
                        <w:tblW w:w="4785" w:type="pct"/>
                        <w:shd w:val="clear" w:color="auto" w:fill="F0F0F0" w:themeFill="accent4"/>
                        <w:tblLayout w:type="fixed"/>
                        <w:tblCellMar>
                          <w:left w:w="0" w:type="dxa"/>
                          <w:right w:w="115" w:type="dxa"/>
                        </w:tblCellMar>
                        <w:tblLook w:val="04A0" w:firstRow="1" w:lastRow="0" w:firstColumn="1" w:lastColumn="0" w:noHBand="0" w:noVBand="1"/>
                      </w:tblPr>
                      <w:tblGrid>
                        <w:gridCol w:w="5075"/>
                      </w:tblGrid>
                      <w:tr w:rsidR="002D610B">
                        <w:tc>
                          <w:tcPr>
                            <w:tcW w:w="5075" w:type="dxa"/>
                            <w:tcBorders>
                              <w:top w:val="single" w:sz="6" w:space="0" w:color="808080"/>
                              <w:left w:val="nil"/>
                              <w:bottom w:val="single" w:sz="4" w:space="0" w:color="808080"/>
                              <w:right w:val="nil"/>
                            </w:tcBorders>
                            <w:shd w:val="clear" w:color="auto" w:fill="F0F0F0" w:themeFill="accent4"/>
                            <w:noWrap/>
                            <w:vAlign w:val="bottom"/>
                            <w:hideMark/>
                          </w:tcPr>
                          <w:p w:rsidR="002D610B" w:rsidRPr="00C36089" w:rsidRDefault="002D610B" w:rsidP="00BF6ACB">
                            <w:pPr>
                              <w:spacing w:before="20" w:after="20" w:line="240" w:lineRule="auto"/>
                              <w:rPr>
                                <w:rFonts w:ascii="Arial Narrow" w:hAnsi="Arial Narrow" w:cs="Calibri"/>
                                <w:i/>
                                <w:iCs/>
                                <w:color w:val="7F7E82"/>
                                <w:sz w:val="16"/>
                                <w:szCs w:val="20"/>
                              </w:rPr>
                            </w:pPr>
                            <w:r>
                              <w:rPr>
                                <w:rFonts w:ascii="Arial Narrow" w:hAnsi="Arial Narrow"/>
                                <w:i/>
                                <w:color w:val="7F7E82"/>
                                <w:sz w:val="16"/>
                              </w:rPr>
                              <w:t> </w:t>
                            </w:r>
                          </w:p>
                        </w:tc>
                      </w:tr>
                      <w:tr w:rsidR="002D610B">
                        <w:tc>
                          <w:tcPr>
                            <w:tcW w:w="5075" w:type="dxa"/>
                            <w:tcBorders>
                              <w:top w:val="nil"/>
                              <w:left w:val="nil"/>
                              <w:bottom w:val="nil"/>
                              <w:right w:val="nil"/>
                            </w:tcBorders>
                            <w:shd w:val="clear" w:color="auto" w:fill="F0F0F0" w:themeFill="accent4"/>
                            <w:noWrap/>
                          </w:tcPr>
                          <w:p w:rsidR="002D610B" w:rsidRPr="00DD3D1A" w:rsidRDefault="002D610B" w:rsidP="00BF6ACB">
                            <w:pPr>
                              <w:spacing w:before="20" w:after="20" w:line="240" w:lineRule="auto"/>
                              <w:rPr>
                                <w:rFonts w:ascii="Arial Narrow" w:hAnsi="Arial Narrow" w:cs="Calibri"/>
                                <w:sz w:val="18"/>
                                <w:szCs w:val="18"/>
                              </w:rPr>
                            </w:pPr>
                            <w:r>
                              <w:rPr>
                                <w:rFonts w:ascii="Arial Narrow" w:hAnsi="Arial Narrow"/>
                                <w:sz w:val="18"/>
                              </w:rPr>
                              <w:t xml:space="preserve"> Az eszközkészlet alapján a bankszektor 53%-át képviselő 6 bank</w:t>
                            </w:r>
                          </w:p>
                        </w:tc>
                      </w:tr>
                      <w:tr w:rsidR="002D610B">
                        <w:tc>
                          <w:tcPr>
                            <w:tcW w:w="5075" w:type="dxa"/>
                            <w:tcBorders>
                              <w:top w:val="nil"/>
                              <w:left w:val="nil"/>
                              <w:bottom w:val="nil"/>
                              <w:right w:val="nil"/>
                            </w:tcBorders>
                            <w:shd w:val="clear" w:color="auto" w:fill="F0F0F0" w:themeFill="accent4"/>
                            <w:noWrap/>
                            <w:hideMark/>
                          </w:tcPr>
                          <w:p w:rsidR="002D610B" w:rsidRPr="00DD3D1A" w:rsidRDefault="002D610B" w:rsidP="00BF6ACB">
                            <w:pPr>
                              <w:spacing w:before="20" w:after="20" w:line="240" w:lineRule="auto"/>
                              <w:rPr>
                                <w:rFonts w:ascii="Arial Narrow" w:hAnsi="Arial Narrow" w:cs="Calibri"/>
                                <w:sz w:val="18"/>
                                <w:szCs w:val="18"/>
                              </w:rPr>
                            </w:pPr>
                            <w:r>
                              <w:rPr>
                                <w:rFonts w:ascii="Arial Narrow" w:hAnsi="Arial Narrow"/>
                                <w:sz w:val="18"/>
                              </w:rPr>
                              <w:t xml:space="preserve"> Magyar Bírósági Végrehajtói Kamara </w:t>
                            </w:r>
                          </w:p>
                        </w:tc>
                      </w:tr>
                      <w:tr w:rsidR="002D610B">
                        <w:tc>
                          <w:tcPr>
                            <w:tcW w:w="5075" w:type="dxa"/>
                            <w:tcBorders>
                              <w:top w:val="nil"/>
                              <w:left w:val="nil"/>
                              <w:bottom w:val="nil"/>
                              <w:right w:val="nil"/>
                            </w:tcBorders>
                            <w:shd w:val="clear" w:color="auto" w:fill="F0F0F0" w:themeFill="accent4"/>
                            <w:noWrap/>
                            <w:hideMark/>
                          </w:tcPr>
                          <w:p w:rsidR="002D610B" w:rsidRPr="00DD3D1A" w:rsidRDefault="002D610B" w:rsidP="00BF6ACB">
                            <w:pPr>
                              <w:spacing w:before="20" w:after="20" w:line="240" w:lineRule="auto"/>
                              <w:rPr>
                                <w:rFonts w:ascii="Arial Narrow" w:hAnsi="Arial Narrow" w:cs="Calibri"/>
                                <w:sz w:val="18"/>
                                <w:szCs w:val="18"/>
                              </w:rPr>
                            </w:pPr>
                            <w:r>
                              <w:rPr>
                                <w:rFonts w:ascii="Arial Narrow" w:hAnsi="Arial Narrow"/>
                                <w:sz w:val="18"/>
                              </w:rPr>
                              <w:t xml:space="preserve"> Felszámolók és Vagyonfelügyelők Országos Egyesülete </w:t>
                            </w:r>
                          </w:p>
                        </w:tc>
                      </w:tr>
                      <w:tr w:rsidR="002D610B">
                        <w:tc>
                          <w:tcPr>
                            <w:tcW w:w="5075" w:type="dxa"/>
                            <w:tcBorders>
                              <w:top w:val="nil"/>
                              <w:left w:val="nil"/>
                              <w:bottom w:val="nil"/>
                              <w:right w:val="nil"/>
                            </w:tcBorders>
                            <w:shd w:val="clear" w:color="auto" w:fill="F0F0F0" w:themeFill="accent4"/>
                            <w:noWrap/>
                            <w:hideMark/>
                          </w:tcPr>
                          <w:p w:rsidR="002D610B" w:rsidRPr="00DD3D1A" w:rsidRDefault="002D610B" w:rsidP="00BF6ACB">
                            <w:pPr>
                              <w:spacing w:before="20" w:after="20" w:line="240" w:lineRule="auto"/>
                              <w:rPr>
                                <w:rFonts w:ascii="Arial Narrow" w:hAnsi="Arial Narrow" w:cs="Calibri"/>
                                <w:sz w:val="18"/>
                                <w:szCs w:val="18"/>
                              </w:rPr>
                            </w:pPr>
                            <w:r>
                              <w:rPr>
                                <w:rFonts w:ascii="Arial Narrow" w:hAnsi="Arial Narrow"/>
                                <w:sz w:val="18"/>
                              </w:rPr>
                              <w:t xml:space="preserve"> Felszámoló bírák (Juhász László, Csőke Andrea) </w:t>
                            </w:r>
                          </w:p>
                        </w:tc>
                      </w:tr>
                      <w:tr w:rsidR="002D610B">
                        <w:tc>
                          <w:tcPr>
                            <w:tcW w:w="5075" w:type="dxa"/>
                            <w:tcBorders>
                              <w:top w:val="nil"/>
                              <w:left w:val="nil"/>
                              <w:bottom w:val="single" w:sz="6" w:space="0" w:color="7F7E82"/>
                              <w:right w:val="nil"/>
                            </w:tcBorders>
                            <w:shd w:val="clear" w:color="auto" w:fill="F0F0F0" w:themeFill="accent4"/>
                            <w:noWrap/>
                            <w:hideMark/>
                          </w:tcPr>
                          <w:p w:rsidR="002D610B" w:rsidRPr="00DD3D1A" w:rsidRDefault="002D610B" w:rsidP="00BF6ACB">
                            <w:pPr>
                              <w:spacing w:before="20" w:after="20" w:line="240" w:lineRule="auto"/>
                              <w:rPr>
                                <w:rFonts w:ascii="Arial Narrow" w:hAnsi="Arial Narrow" w:cs="Calibri"/>
                                <w:sz w:val="18"/>
                                <w:szCs w:val="18"/>
                              </w:rPr>
                            </w:pPr>
                            <w:r>
                              <w:rPr>
                                <w:rFonts w:ascii="Arial Narrow" w:hAnsi="Arial Narrow"/>
                                <w:sz w:val="18"/>
                              </w:rPr>
                              <w:t xml:space="preserve"> Magyar Kereskedelmi és Iparkamara</w:t>
                            </w:r>
                          </w:p>
                        </w:tc>
                      </w:tr>
                    </w:tbl>
                    <w:p w:rsidR="002D610B" w:rsidRDefault="002D610B" w:rsidP="005F2808">
                      <w:pPr>
                        <w:pStyle w:val="TASTablesource"/>
                      </w:pPr>
                      <w:r>
                        <w:t>Forrás: EY gyűjtése</w:t>
                      </w:r>
                    </w:p>
                  </w:txbxContent>
                </v:textbox>
                <w10:wrap type="square" anchorx="page" anchory="margin"/>
              </v:rect>
            </w:pict>
          </mc:Fallback>
        </mc:AlternateContent>
      </w:r>
      <w:r w:rsidRPr="003249D9">
        <w:rPr>
          <w:rFonts w:asciiTheme="minorHAnsi" w:hAnsiTheme="minorHAnsi"/>
        </w:rPr>
        <w:t xml:space="preserve">A csődtörvényt számos alkalommal módosították, és igencsak idejétmúltnak tekinthető, ezért új jogszabályra lenne szükség. A hitelezők pozícióját a jog megerősítette. Meghatározó szempontként került említésre, hogy a hitelezők számára hatékonyabb kontrollt kellene biztosítani az </w:t>
      </w:r>
      <w:proofErr w:type="spellStart"/>
      <w:r w:rsidRPr="003249D9">
        <w:rPr>
          <w:rFonts w:asciiTheme="minorHAnsi" w:hAnsiTheme="minorHAnsi"/>
        </w:rPr>
        <w:t>IOH-k</w:t>
      </w:r>
      <w:proofErr w:type="spellEnd"/>
      <w:r w:rsidRPr="003249D9">
        <w:rPr>
          <w:rFonts w:asciiTheme="minorHAnsi" w:hAnsiTheme="minorHAnsi"/>
        </w:rPr>
        <w:t xml:space="preserve"> működése felett. Jelenleg a hitelezők a törvény szerint leválthatják a felszámolókat, ez azonban nem működik hatékonyan a gyakorlatban. Egy másik lényeges szempontként említették, hogy a felszámolási eljárások időtartamát csökkenteni kellene. Mindkét intézkedéshez legalább a csődtörvény módosítására, de inkább egy új – egyéb strukturális változásokat tartalmazó – törvény elfogadására lenne szükség.</w:t>
      </w:r>
    </w:p>
    <w:p w:rsidR="005F2808" w:rsidRPr="003249D9" w:rsidRDefault="005F2808" w:rsidP="005F2808">
      <w:pPr>
        <w:pStyle w:val="TASBullet2"/>
        <w:numPr>
          <w:ilvl w:val="1"/>
          <w:numId w:val="22"/>
        </w:numPr>
        <w:rPr>
          <w:rFonts w:asciiTheme="minorHAnsi" w:hAnsiTheme="minorHAnsi"/>
        </w:rPr>
      </w:pPr>
      <w:r w:rsidRPr="003249D9">
        <w:rPr>
          <w:rFonts w:asciiTheme="minorHAnsi" w:hAnsiTheme="minorHAnsi"/>
        </w:rPr>
        <w:lastRenderedPageBreak/>
        <w:t xml:space="preserve">Az ügyfelek, bírák és felszámolók viselkedése is az </w:t>
      </w:r>
      <w:proofErr w:type="spellStart"/>
      <w:r w:rsidRPr="003249D9">
        <w:rPr>
          <w:rFonts w:asciiTheme="minorHAnsi" w:hAnsiTheme="minorHAnsi"/>
        </w:rPr>
        <w:t>NPL-ek</w:t>
      </w:r>
      <w:proofErr w:type="spellEnd"/>
      <w:r w:rsidRPr="003249D9">
        <w:rPr>
          <w:rFonts w:asciiTheme="minorHAnsi" w:hAnsiTheme="minorHAnsi"/>
        </w:rPr>
        <w:t xml:space="preserve"> rendezését akadályozza. Az ügyfelek többnyire nem együttműködőek, míg a bírák és felszámolók általában nem a hitelezők legjobb érdekét szem előtt tartva járnak el – holott ők a felszámolás legfőbb érdekelt felei. </w:t>
      </w:r>
    </w:p>
    <w:p w:rsidR="005F2808" w:rsidRPr="003249D9" w:rsidRDefault="005F2808" w:rsidP="005F2808">
      <w:pPr>
        <w:pStyle w:val="TASBullet2"/>
        <w:numPr>
          <w:ilvl w:val="1"/>
          <w:numId w:val="22"/>
        </w:numPr>
        <w:rPr>
          <w:rFonts w:asciiTheme="minorHAnsi" w:hAnsiTheme="minorHAnsi"/>
        </w:rPr>
      </w:pPr>
      <w:r w:rsidRPr="003249D9">
        <w:rPr>
          <w:rFonts w:asciiTheme="minorHAnsi" w:hAnsiTheme="minorHAnsi"/>
        </w:rPr>
        <w:t xml:space="preserve">A kormány kommunikációja a kereskedelmi hitelek kapcsán azt sugallja, ha a bankok felelősek a devizahitelekért, és az ügyfelek védelme érdekében intézkedésekre kerül sor. Ez negatív hatást gyakorolhat a vállalati ügyfelek fizetési hajlandóságára is. </w:t>
      </w:r>
    </w:p>
    <w:p w:rsidR="005F2808" w:rsidRPr="003249D9" w:rsidRDefault="005F2808" w:rsidP="005F2808">
      <w:pPr>
        <w:pStyle w:val="TASBullet2"/>
        <w:numPr>
          <w:ilvl w:val="1"/>
          <w:numId w:val="22"/>
        </w:numPr>
        <w:rPr>
          <w:rFonts w:asciiTheme="minorHAnsi" w:hAnsiTheme="minorHAnsi"/>
        </w:rPr>
      </w:pPr>
      <w:r w:rsidRPr="003249D9">
        <w:rPr>
          <w:rFonts w:asciiTheme="minorHAnsi" w:hAnsiTheme="minorHAnsi"/>
        </w:rPr>
        <w:t xml:space="preserve">Az </w:t>
      </w:r>
      <w:proofErr w:type="spellStart"/>
      <w:r w:rsidRPr="003249D9">
        <w:rPr>
          <w:rFonts w:asciiTheme="minorHAnsi" w:hAnsiTheme="minorHAnsi"/>
        </w:rPr>
        <w:t>NPL-ek</w:t>
      </w:r>
      <w:proofErr w:type="spellEnd"/>
      <w:r w:rsidRPr="003249D9">
        <w:rPr>
          <w:rFonts w:asciiTheme="minorHAnsi" w:hAnsiTheme="minorHAnsi"/>
        </w:rPr>
        <w:t xml:space="preserve"> nem likvid és nem átlátható másodlagos piacát két bank is az </w:t>
      </w:r>
      <w:proofErr w:type="spellStart"/>
      <w:r w:rsidRPr="003249D9">
        <w:rPr>
          <w:rFonts w:asciiTheme="minorHAnsi" w:hAnsiTheme="minorHAnsi"/>
        </w:rPr>
        <w:t>NPL-ek</w:t>
      </w:r>
      <w:proofErr w:type="spellEnd"/>
      <w:r w:rsidRPr="003249D9">
        <w:rPr>
          <w:rFonts w:asciiTheme="minorHAnsi" w:hAnsiTheme="minorHAnsi"/>
        </w:rPr>
        <w:t xml:space="preserve"> értékesítésének fő akadályaként említette meg. A bankok közül egy jelezte, hogy az </w:t>
      </w:r>
      <w:proofErr w:type="spellStart"/>
      <w:r w:rsidRPr="003249D9">
        <w:rPr>
          <w:rFonts w:asciiTheme="minorHAnsi" w:hAnsiTheme="minorHAnsi"/>
        </w:rPr>
        <w:t>NPL-ek</w:t>
      </w:r>
      <w:proofErr w:type="spellEnd"/>
      <w:r w:rsidRPr="003249D9">
        <w:rPr>
          <w:rFonts w:asciiTheme="minorHAnsi" w:hAnsiTheme="minorHAnsi"/>
        </w:rPr>
        <w:t xml:space="preserve"> vételi platformjának engedélyeztetési eljárása eltántorítja a nemzetközi befektetőket. Egy másik bank arról tett említést, hogy a bizonytalan jogi környezet miatt Magyarország nem vonzó a potenciális nemzetközi vevők szemében. </w:t>
      </w:r>
    </w:p>
    <w:p w:rsidR="005F2808" w:rsidRPr="003249D9" w:rsidRDefault="005F2808" w:rsidP="005F2808">
      <w:pPr>
        <w:pStyle w:val="TASBullet1"/>
        <w:numPr>
          <w:ilvl w:val="0"/>
          <w:numId w:val="22"/>
        </w:numPr>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788288" behindDoc="0" locked="0" layoutInCell="1" allowOverlap="1" wp14:anchorId="2F601D21" wp14:editId="154A3D4E">
                <wp:simplePos x="0" y="0"/>
                <wp:positionH relativeFrom="column">
                  <wp:posOffset>0</wp:posOffset>
                </wp:positionH>
                <wp:positionV relativeFrom="paragraph">
                  <wp:posOffset>0</wp:posOffset>
                </wp:positionV>
                <wp:extent cx="635000" cy="635000"/>
                <wp:effectExtent l="0" t="0" r="0" b="0"/>
                <wp:wrapNone/>
                <wp:docPr id="500" name="b4cf75eea06246e7b3322ef70c1c00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rsidR="002D610B" w:rsidRDefault="002D610B" w:rsidP="005F28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b4cf75eea06246e7b3322ef70c1c0034" o:spid="_x0000_s1049" style="position:absolute;left:0;text-align:left;margin-left:0;margin-top:0;width:50pt;height:50pt;z-index:251788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">
                <o:lock v:ext="edit" selection="t"/>
                <v:textbox>
                  <w:txbxContent>
                    <w:p w:rsidR="002D610B" w:rsidRDefault="002D610B" w:rsidP="005F2808">
                      <w:pPr>
                        <w:jc w:val="center"/>
                      </w:pPr>
                    </w:p>
                  </w:txbxContent>
                </v:textbox>
              </v:rect>
            </w:pict>
          </mc:Fallback>
        </mc:AlternateContent>
      </w:r>
      <w:r w:rsidRPr="003249D9">
        <w:rPr>
          <w:rFonts w:asciiTheme="minorHAnsi" w:hAnsiTheme="minorHAnsi"/>
        </w:rPr>
        <w:t>E kérdéseket „Az érintett felek által megnevezett legfőbb akadályok” című fejezetben mutatjuk be részletesen néhány javasolt megoldással együtt.</w:t>
      </w:r>
    </w:p>
    <w:p w:rsidR="005F2808" w:rsidRPr="003249D9" w:rsidRDefault="005F2808" w:rsidP="005F2808">
      <w:pPr>
        <w:pStyle w:val="TASBodytext"/>
        <w:rPr>
          <w:rFonts w:asciiTheme="minorHAnsi" w:hAnsiTheme="minorHAnsi"/>
        </w:rPr>
      </w:pPr>
    </w:p>
    <w:p w:rsidR="005F2808" w:rsidRPr="003249D9" w:rsidRDefault="005F2808" w:rsidP="005F2808">
      <w:pPr>
        <w:pStyle w:val="TASBodytext"/>
        <w:rPr>
          <w:rFonts w:asciiTheme="minorHAnsi" w:hAnsiTheme="minorHAnsi"/>
        </w:rPr>
      </w:pPr>
    </w:p>
    <w:p w:rsidR="005F2808" w:rsidRPr="003249D9" w:rsidRDefault="005F2808" w:rsidP="005F2808">
      <w:pPr>
        <w:pStyle w:val="TASBodytext"/>
        <w:rPr>
          <w:rFonts w:asciiTheme="minorHAnsi" w:hAnsiTheme="minorHAnsi"/>
        </w:rPr>
        <w:sectPr w:rsidR="005F2808" w:rsidRPr="003249D9">
          <w:headerReference w:type="default" r:id="rId50"/>
          <w:footerReference w:type="default" r:id="rId51"/>
          <w:pgSz w:w="11907" w:h="16839" w:code="9"/>
          <w:pgMar w:top="2304" w:right="792" w:bottom="1022" w:left="792" w:header="605" w:footer="706" w:gutter="0"/>
          <w:cols w:space="720"/>
          <w:docGrid w:linePitch="360"/>
        </w:sectPr>
      </w:pPr>
    </w:p>
    <w:p w:rsidR="005F2808" w:rsidRPr="003249D9" w:rsidRDefault="005F2808" w:rsidP="005F2808">
      <w:pPr>
        <w:pStyle w:val="TASSubsection"/>
        <w:framePr w:wrap="around"/>
        <w:rPr>
          <w:rFonts w:asciiTheme="minorHAnsi" w:hAnsiTheme="minorHAnsi"/>
        </w:rPr>
      </w:pPr>
      <w:r w:rsidRPr="003249D9">
        <w:rPr>
          <w:rFonts w:asciiTheme="minorHAnsi" w:hAnsiTheme="minorHAnsi"/>
        </w:rPr>
        <w:lastRenderedPageBreak/>
        <w:t xml:space="preserve">Az </w:t>
      </w:r>
      <w:proofErr w:type="spellStart"/>
      <w:r w:rsidRPr="003249D9">
        <w:rPr>
          <w:rFonts w:asciiTheme="minorHAnsi" w:hAnsiTheme="minorHAnsi"/>
        </w:rPr>
        <w:t>NPL-portfoliók</w:t>
      </w:r>
      <w:proofErr w:type="spellEnd"/>
      <w:r w:rsidRPr="003249D9">
        <w:rPr>
          <w:rFonts w:asciiTheme="minorHAnsi" w:hAnsiTheme="minorHAnsi"/>
        </w:rPr>
        <w:t xml:space="preserve"> kezelésének meghatározó tényezői</w:t>
      </w:r>
    </w:p>
    <w:p w:rsidR="005F2808" w:rsidRPr="003249D9" w:rsidRDefault="005F2808" w:rsidP="005F2808">
      <w:pPr>
        <w:pStyle w:val="TASStraplinefirst"/>
        <w:framePr w:wrap="notBeside"/>
        <w:rPr>
          <w:rFonts w:asciiTheme="minorHAnsi" w:hAnsiTheme="minorHAnsi"/>
        </w:rPr>
      </w:pPr>
      <w:r w:rsidRPr="003249D9">
        <w:rPr>
          <w:rFonts w:asciiTheme="minorHAnsi" w:hAnsiTheme="minorHAnsi"/>
        </w:rPr>
        <w:t xml:space="preserve">A bankok aktuális </w:t>
      </w:r>
      <w:proofErr w:type="spellStart"/>
      <w:r w:rsidRPr="003249D9">
        <w:rPr>
          <w:rFonts w:asciiTheme="minorHAnsi" w:hAnsiTheme="minorHAnsi"/>
        </w:rPr>
        <w:t>restrukturálási</w:t>
      </w:r>
      <w:proofErr w:type="spellEnd"/>
      <w:r w:rsidRPr="003249D9">
        <w:rPr>
          <w:rFonts w:asciiTheme="minorHAnsi" w:hAnsiTheme="minorHAnsi"/>
        </w:rPr>
        <w:t xml:space="preserve"> intézkedései</w:t>
      </w:r>
    </w:p>
    <w:p w:rsidR="005F2808" w:rsidRPr="003249D9" w:rsidRDefault="005F2808" w:rsidP="005F2808">
      <w:pPr>
        <w:pStyle w:val="TASTextheading1"/>
        <w:rPr>
          <w:rFonts w:asciiTheme="minorHAnsi" w:hAnsiTheme="minorHAnsi"/>
        </w:rPr>
      </w:pPr>
      <w:r w:rsidRPr="003249D9">
        <w:t xml:space="preserve">A bankok által alkalmazott </w:t>
      </w:r>
      <w:proofErr w:type="spellStart"/>
      <w:r w:rsidRPr="003249D9">
        <w:t>restrukturálási</w:t>
      </w:r>
      <w:proofErr w:type="spellEnd"/>
      <w:r w:rsidRPr="003249D9">
        <w:t xml:space="preserve"> intézkedések</w:t>
      </w:r>
      <w:r>
        <w:rPr>
          <w:rFonts w:asciiTheme="minorHAnsi" w:hAnsiTheme="minorHAnsi"/>
          <w:noProof/>
          <w:lang w:bidi="ar-SA"/>
        </w:rPr>
        <mc:AlternateContent>
          <mc:Choice Requires="wps">
            <w:drawing>
              <wp:anchor distT="0" distB="0" distL="114300" distR="114300" simplePos="0" relativeHeight="251795456" behindDoc="0" locked="0" layoutInCell="1" allowOverlap="1" wp14:anchorId="5C1E834B" wp14:editId="199FC9A9">
                <wp:simplePos x="0" y="0"/>
                <wp:positionH relativeFrom="page">
                  <wp:posOffset>502920</wp:posOffset>
                </wp:positionH>
                <wp:positionV relativeFrom="margin">
                  <wp:posOffset>0</wp:posOffset>
                </wp:positionV>
                <wp:extent cx="3167824" cy="914400"/>
                <wp:effectExtent l="0" t="0" r="0" b="0"/>
                <wp:wrapSquare wrapText="bothSides"/>
                <wp:docPr id="501" name="Text Box 501"/>
                <wp:cNvGraphicFramePr/>
                <a:graphic xmlns:a="http://schemas.openxmlformats.org/drawingml/2006/main">
                  <a:graphicData uri="http://schemas.microsoft.com/office/word/2010/wordprocessingShape">
                    <wps:wsp>
                      <wps:cNvSpPr txBox="1"/>
                      <wps:spPr>
                        <a:xfrm>
                          <a:off x="0" y="0"/>
                          <a:ext cx="3167824" cy="9144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2D610B" w:rsidRDefault="002D610B" w:rsidP="005F2808">
                            <w:pPr>
                              <w:pStyle w:val="TASTabletitleborder"/>
                              <w:spacing w:before="20" w:after="20"/>
                            </w:pPr>
                            <w:r>
                              <w:t xml:space="preserve">Általános </w:t>
                            </w:r>
                            <w:proofErr w:type="spellStart"/>
                            <w:r>
                              <w:t>restrukturálási</w:t>
                            </w:r>
                            <w:proofErr w:type="spellEnd"/>
                            <w:r>
                              <w:t xml:space="preserve"> intézkedések</w:t>
                            </w:r>
                          </w:p>
                          <w:p w:rsidR="002D610B" w:rsidRDefault="002D610B" w:rsidP="005F2808">
                            <w:pPr>
                              <w:pStyle w:val="TASTablesource"/>
                            </w:pPr>
                            <w:proofErr w:type="spellStart"/>
                            <w:r>
                              <w:t>Source</w:t>
                            </w:r>
                            <w:proofErr w:type="spellEnd"/>
                            <w:r>
                              <w:t>: Vezetőségtől származó információ</w:t>
                            </w:r>
                          </w:p>
                          <w:p w:rsidR="002D610B" w:rsidRPr="00065B5E" w:rsidRDefault="002D610B" w:rsidP="005F2808">
                            <w:pPr>
                              <w:pStyle w:val="TASTabletext"/>
                            </w:pPr>
                            <w:r w:rsidRPr="00065B5E">
                              <w:rPr>
                                <w:noProof/>
                                <w:lang w:bidi="ar-SA"/>
                              </w:rPr>
                              <w:drawing>
                                <wp:inline distT="0" distB="0" distL="0" distR="0" wp14:anchorId="5A68C7CE" wp14:editId="00C62014">
                                  <wp:extent cx="3177313" cy="4140526"/>
                                  <wp:effectExtent l="0" t="0" r="444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77313" cy="4140526"/>
                                          </a:xfrm>
                                          <a:prstGeom prst="rect">
                                            <a:avLst/>
                                          </a:prstGeom>
                                          <a:noFill/>
                                          <a:ln>
                                            <a:noFill/>
                                          </a:ln>
                                        </pic:spPr>
                                      </pic:pic>
                                    </a:graphicData>
                                  </a:graphic>
                                </wp:inline>
                              </w:drawing>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01" o:spid="_x0000_s1050" type="#_x0000_t202" style="position:absolute;margin-left:39.6pt;margin-top:0;width:249.45pt;height:1in;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" filled="f" stroked="f" strokeweight=".5pt">
                <v:textbox style="mso-fit-shape-to-text:t" inset="0">
                  <w:txbxContent>
                    <w:p w:rsidR="002D610B" w:rsidRDefault="002D610B" w:rsidP="005F2808">
                      <w:pPr>
                        <w:pStyle w:val="TASTabletitleborder"/>
                        <w:spacing w:before="20" w:after="20"/>
                      </w:pPr>
                      <w:r>
                        <w:t xml:space="preserve">Általános </w:t>
                      </w:r>
                      <w:proofErr w:type="spellStart"/>
                      <w:r>
                        <w:t>restrukturálási</w:t>
                      </w:r>
                      <w:proofErr w:type="spellEnd"/>
                      <w:r>
                        <w:t xml:space="preserve"> intézkedések</w:t>
                      </w:r>
                    </w:p>
                    <w:p w:rsidR="002D610B" w:rsidRDefault="002D610B" w:rsidP="005F2808">
                      <w:pPr>
                        <w:pStyle w:val="TASTablesource"/>
                      </w:pPr>
                      <w:proofErr w:type="spellStart"/>
                      <w:r>
                        <w:t>Source</w:t>
                      </w:r>
                      <w:proofErr w:type="spellEnd"/>
                      <w:r>
                        <w:t>: Vezetőségtől származó információ</w:t>
                      </w:r>
                    </w:p>
                    <w:p w:rsidR="002D610B" w:rsidRPr="00065B5E" w:rsidRDefault="002D610B" w:rsidP="005F2808">
                      <w:pPr>
                        <w:pStyle w:val="TASTabletext"/>
                      </w:pPr>
                      <w:r w:rsidRPr="00065B5E">
                        <w:rPr>
                          <w:noProof/>
                          <w:lang w:bidi="ar-SA"/>
                        </w:rPr>
                        <w:drawing>
                          <wp:inline distT="0" distB="0" distL="0" distR="0" wp14:anchorId="5A68C7CE" wp14:editId="00C62014">
                            <wp:extent cx="3177313" cy="4140526"/>
                            <wp:effectExtent l="0" t="0" r="444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77313" cy="4140526"/>
                                    </a:xfrm>
                                    <a:prstGeom prst="rect">
                                      <a:avLst/>
                                    </a:prstGeom>
                                    <a:noFill/>
                                    <a:ln>
                                      <a:noFill/>
                                    </a:ln>
                                  </pic:spPr>
                                </pic:pic>
                              </a:graphicData>
                            </a:graphic>
                          </wp:inline>
                        </w:drawing>
                      </w:r>
                    </w:p>
                  </w:txbxContent>
                </v:textbox>
                <w10:wrap type="square" anchorx="page" anchory="margin"/>
              </v:shape>
            </w:pict>
          </mc:Fallback>
        </mc:AlternateContent>
      </w:r>
    </w:p>
    <w:p w:rsidR="005F2808" w:rsidRPr="003249D9" w:rsidRDefault="005F2808" w:rsidP="005F2808">
      <w:pPr>
        <w:pStyle w:val="TASBullet1"/>
        <w:tabs>
          <w:tab w:val="left" w:pos="90"/>
        </w:tabs>
        <w:ind w:left="90"/>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789312" behindDoc="0" locked="0" layoutInCell="1" allowOverlap="1" wp14:anchorId="22082413" wp14:editId="2D5CB1EA">
                <wp:simplePos x="0" y="0"/>
                <wp:positionH relativeFrom="column">
                  <wp:posOffset>0</wp:posOffset>
                </wp:positionH>
                <wp:positionV relativeFrom="paragraph">
                  <wp:posOffset>0</wp:posOffset>
                </wp:positionV>
                <wp:extent cx="635000" cy="635000"/>
                <wp:effectExtent l="0" t="0" r="0" b="0"/>
                <wp:wrapNone/>
                <wp:docPr id="502" name="14f72458d8434784b89c595d14c1984a"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rsidR="002D610B" w:rsidRDefault="002D610B" w:rsidP="005F28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4f72458d8434784b89c595d14c1984a" o:spid="_x0000_s1051" style="position:absolute;left:0;text-align:left;margin-left:0;margin-top:0;width:50pt;height:50pt;z-index:251789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">
                <o:lock v:ext="edit" selection="t"/>
                <v:textbox>
                  <w:txbxContent>
                    <w:p w:rsidR="002D610B" w:rsidRDefault="002D610B" w:rsidP="005F2808">
                      <w:pPr>
                        <w:jc w:val="center"/>
                      </w:pPr>
                    </w:p>
                  </w:txbxContent>
                </v:textbox>
              </v:rect>
            </w:pict>
          </mc:Fallback>
        </mc:AlternateContent>
      </w:r>
      <w:r w:rsidRPr="003249D9">
        <w:rPr>
          <w:rFonts w:asciiTheme="minorHAnsi" w:hAnsiTheme="minorHAnsi"/>
        </w:rPr>
        <w:t xml:space="preserve">A bankok a </w:t>
      </w:r>
      <w:proofErr w:type="spellStart"/>
      <w:r w:rsidRPr="003249D9">
        <w:rPr>
          <w:rFonts w:asciiTheme="minorHAnsi" w:hAnsiTheme="minorHAnsi"/>
        </w:rPr>
        <w:t>restrukturálási</w:t>
      </w:r>
      <w:proofErr w:type="spellEnd"/>
      <w:r w:rsidRPr="003249D9">
        <w:rPr>
          <w:rFonts w:asciiTheme="minorHAnsi" w:hAnsiTheme="minorHAnsi"/>
        </w:rPr>
        <w:t xml:space="preserve"> opciók széles körét veszik igénybe. Az alkalmazott opciók függenek a hitelfelvevő pénzügyi helyzetétől, a vállalat eszközstruktúrájától, valamint az adott iparágban lévő piaci várakozásoktól.</w:t>
      </w:r>
    </w:p>
    <w:p w:rsidR="005F2808" w:rsidRPr="003249D9" w:rsidRDefault="005F2808" w:rsidP="005F2808">
      <w:pPr>
        <w:pStyle w:val="TASTextheading2"/>
        <w:rPr>
          <w:rFonts w:asciiTheme="minorHAnsi" w:hAnsiTheme="minorHAnsi"/>
        </w:rPr>
      </w:pPr>
      <w:r w:rsidRPr="003249D9">
        <w:rPr>
          <w:rFonts w:asciiTheme="minorHAnsi" w:hAnsiTheme="minorHAnsi"/>
        </w:rPr>
        <w:t>Fedezetek módosítása</w:t>
      </w:r>
    </w:p>
    <w:p w:rsidR="005F2808" w:rsidRPr="003249D9" w:rsidRDefault="005F2808" w:rsidP="005F2808">
      <w:pPr>
        <w:pStyle w:val="TASBullet1"/>
        <w:tabs>
          <w:tab w:val="left" w:pos="180"/>
        </w:tabs>
        <w:ind w:left="180"/>
        <w:rPr>
          <w:rFonts w:asciiTheme="minorHAnsi" w:hAnsiTheme="minorHAnsi"/>
        </w:rPr>
      </w:pPr>
      <w:r w:rsidRPr="003249D9">
        <w:rPr>
          <w:rFonts w:asciiTheme="minorHAnsi" w:hAnsiTheme="minorHAnsi"/>
        </w:rPr>
        <w:t>A bankok jellemzően hajlandóak elengedni vagy enyhíteni a szorult helyzetbe került vállalatok pénzügyi fedezetét. Az általában használt pénzügyi fedezetek: Hitelbiztosítéki érték (</w:t>
      </w:r>
      <w:proofErr w:type="spellStart"/>
      <w:r w:rsidRPr="003249D9">
        <w:rPr>
          <w:rFonts w:asciiTheme="minorHAnsi" w:hAnsiTheme="minorHAnsi"/>
        </w:rPr>
        <w:t>Loan</w:t>
      </w:r>
      <w:proofErr w:type="spellEnd"/>
      <w:r w:rsidRPr="003249D9">
        <w:rPr>
          <w:rFonts w:asciiTheme="minorHAnsi" w:hAnsiTheme="minorHAnsi"/>
        </w:rPr>
        <w:t xml:space="preserve"> </w:t>
      </w:r>
      <w:proofErr w:type="spellStart"/>
      <w:r w:rsidRPr="003249D9">
        <w:rPr>
          <w:rFonts w:asciiTheme="minorHAnsi" w:hAnsiTheme="minorHAnsi"/>
        </w:rPr>
        <w:t>to</w:t>
      </w:r>
      <w:proofErr w:type="spellEnd"/>
      <w:r w:rsidRPr="003249D9">
        <w:rPr>
          <w:rFonts w:asciiTheme="minorHAnsi" w:hAnsiTheme="minorHAnsi"/>
        </w:rPr>
        <w:t xml:space="preserve"> </w:t>
      </w:r>
      <w:proofErr w:type="spellStart"/>
      <w:r w:rsidRPr="003249D9">
        <w:rPr>
          <w:rFonts w:asciiTheme="minorHAnsi" w:hAnsiTheme="minorHAnsi"/>
        </w:rPr>
        <w:t>Value</w:t>
      </w:r>
      <w:proofErr w:type="spellEnd"/>
      <w:r w:rsidRPr="003249D9">
        <w:rPr>
          <w:rFonts w:asciiTheme="minorHAnsi" w:hAnsiTheme="minorHAnsi"/>
        </w:rPr>
        <w:t xml:space="preserve"> – LTV), adósságszolgálati fedezeti mutató (</w:t>
      </w:r>
      <w:proofErr w:type="spellStart"/>
      <w:r w:rsidRPr="003249D9">
        <w:rPr>
          <w:rFonts w:asciiTheme="minorHAnsi" w:hAnsiTheme="minorHAnsi"/>
        </w:rPr>
        <w:t>Debt</w:t>
      </w:r>
      <w:proofErr w:type="spellEnd"/>
      <w:r w:rsidRPr="003249D9">
        <w:rPr>
          <w:rFonts w:asciiTheme="minorHAnsi" w:hAnsiTheme="minorHAnsi"/>
        </w:rPr>
        <w:t xml:space="preserve"> service </w:t>
      </w:r>
      <w:proofErr w:type="spellStart"/>
      <w:r w:rsidRPr="003249D9">
        <w:rPr>
          <w:rFonts w:asciiTheme="minorHAnsi" w:hAnsiTheme="minorHAnsi"/>
        </w:rPr>
        <w:t>coverage</w:t>
      </w:r>
      <w:proofErr w:type="spellEnd"/>
      <w:r w:rsidRPr="003249D9">
        <w:rPr>
          <w:rFonts w:asciiTheme="minorHAnsi" w:hAnsiTheme="minorHAnsi"/>
        </w:rPr>
        <w:t xml:space="preserve"> ratio – DSCR), adósságszolgálati tartalékszámla (</w:t>
      </w:r>
      <w:proofErr w:type="spellStart"/>
      <w:r w:rsidRPr="003249D9">
        <w:rPr>
          <w:rFonts w:asciiTheme="minorHAnsi" w:hAnsiTheme="minorHAnsi"/>
        </w:rPr>
        <w:t>Debt</w:t>
      </w:r>
      <w:proofErr w:type="spellEnd"/>
      <w:r w:rsidRPr="003249D9">
        <w:rPr>
          <w:rFonts w:asciiTheme="minorHAnsi" w:hAnsiTheme="minorHAnsi"/>
        </w:rPr>
        <w:t xml:space="preserve"> service </w:t>
      </w:r>
      <w:proofErr w:type="spellStart"/>
      <w:r w:rsidRPr="003249D9">
        <w:rPr>
          <w:rFonts w:asciiTheme="minorHAnsi" w:hAnsiTheme="minorHAnsi"/>
        </w:rPr>
        <w:t>reserve</w:t>
      </w:r>
      <w:proofErr w:type="spellEnd"/>
      <w:r w:rsidRPr="003249D9">
        <w:rPr>
          <w:rFonts w:asciiTheme="minorHAnsi" w:hAnsiTheme="minorHAnsi"/>
        </w:rPr>
        <w:t xml:space="preserve"> account – DSRA)</w:t>
      </w:r>
    </w:p>
    <w:p w:rsidR="005F2808" w:rsidRPr="003249D9" w:rsidRDefault="005F2808" w:rsidP="005F2808">
      <w:pPr>
        <w:pStyle w:val="TASTextheading2"/>
        <w:rPr>
          <w:rFonts w:asciiTheme="minorHAnsi" w:hAnsiTheme="minorHAnsi"/>
        </w:rPr>
      </w:pPr>
      <w:r w:rsidRPr="003249D9">
        <w:rPr>
          <w:rFonts w:asciiTheme="minorHAnsi" w:hAnsiTheme="minorHAnsi"/>
        </w:rPr>
        <w:t xml:space="preserve">Pénzügyi </w:t>
      </w:r>
      <w:proofErr w:type="spellStart"/>
      <w:r w:rsidRPr="003249D9">
        <w:rPr>
          <w:rFonts w:asciiTheme="minorHAnsi" w:hAnsiTheme="minorHAnsi"/>
        </w:rPr>
        <w:t>restrukturálás</w:t>
      </w:r>
      <w:proofErr w:type="spellEnd"/>
    </w:p>
    <w:p w:rsidR="005F2808" w:rsidRPr="003249D9" w:rsidRDefault="005F2808" w:rsidP="005F2808">
      <w:pPr>
        <w:pStyle w:val="TASBullet1"/>
        <w:tabs>
          <w:tab w:val="left" w:pos="180"/>
        </w:tabs>
        <w:ind w:left="180"/>
        <w:rPr>
          <w:rFonts w:asciiTheme="minorHAnsi" w:hAnsiTheme="minorHAnsi"/>
        </w:rPr>
      </w:pPr>
      <w:r w:rsidRPr="003249D9">
        <w:rPr>
          <w:rFonts w:asciiTheme="minorHAnsi" w:hAnsiTheme="minorHAnsi"/>
        </w:rPr>
        <w:t xml:space="preserve">A pénzügyi </w:t>
      </w:r>
      <w:proofErr w:type="spellStart"/>
      <w:r w:rsidRPr="003249D9">
        <w:rPr>
          <w:rFonts w:asciiTheme="minorHAnsi" w:hAnsiTheme="minorHAnsi"/>
        </w:rPr>
        <w:t>restrukturálás</w:t>
      </w:r>
      <w:proofErr w:type="spellEnd"/>
      <w:r w:rsidRPr="003249D9">
        <w:rPr>
          <w:rFonts w:asciiTheme="minorHAnsi" w:hAnsiTheme="minorHAnsi"/>
        </w:rPr>
        <w:t xml:space="preserve"> számos </w:t>
      </w:r>
      <w:proofErr w:type="spellStart"/>
      <w:r w:rsidRPr="003249D9">
        <w:rPr>
          <w:rFonts w:asciiTheme="minorHAnsi" w:hAnsiTheme="minorHAnsi"/>
        </w:rPr>
        <w:t>restrukturálási</w:t>
      </w:r>
      <w:proofErr w:type="spellEnd"/>
      <w:r w:rsidRPr="003249D9">
        <w:rPr>
          <w:rFonts w:asciiTheme="minorHAnsi" w:hAnsiTheme="minorHAnsi"/>
        </w:rPr>
        <w:t xml:space="preserve"> intézkedést foglal magában, pl. lejárati idő meghosszabbítása, </w:t>
      </w:r>
      <w:proofErr w:type="spellStart"/>
      <w:r w:rsidRPr="003249D9">
        <w:rPr>
          <w:rFonts w:asciiTheme="minorHAnsi" w:hAnsiTheme="minorHAnsi"/>
        </w:rPr>
        <w:t>törlesztőrészletek</w:t>
      </w:r>
      <w:proofErr w:type="spellEnd"/>
      <w:r w:rsidRPr="003249D9">
        <w:rPr>
          <w:rFonts w:asciiTheme="minorHAnsi" w:hAnsiTheme="minorHAnsi"/>
        </w:rPr>
        <w:t xml:space="preserve"> átütemezése, árrés csökkentése, ideiglenes fizetési moratórium (teljes vagy részleges), valamint a kamatok vagy a tőke elengedése.</w:t>
      </w:r>
    </w:p>
    <w:p w:rsidR="005F2808" w:rsidRPr="003249D9" w:rsidRDefault="005F2808" w:rsidP="005F2808">
      <w:pPr>
        <w:pStyle w:val="TASTextheading2"/>
        <w:rPr>
          <w:rFonts w:asciiTheme="minorHAnsi" w:hAnsiTheme="minorHAnsi"/>
        </w:rPr>
      </w:pPr>
      <w:r w:rsidRPr="003249D9">
        <w:rPr>
          <w:rFonts w:asciiTheme="minorHAnsi" w:hAnsiTheme="minorHAnsi"/>
        </w:rPr>
        <w:t>Önkéntes eszközértékesítések</w:t>
      </w:r>
    </w:p>
    <w:p w:rsidR="005F2808" w:rsidRPr="003249D9" w:rsidRDefault="005F2808" w:rsidP="005F2808">
      <w:pPr>
        <w:pStyle w:val="TASBullet1"/>
        <w:tabs>
          <w:tab w:val="left" w:pos="180"/>
        </w:tabs>
        <w:ind w:left="180"/>
        <w:rPr>
          <w:rFonts w:asciiTheme="minorHAnsi" w:hAnsiTheme="minorHAnsi"/>
        </w:rPr>
      </w:pPr>
      <w:r w:rsidRPr="003249D9">
        <w:rPr>
          <w:rFonts w:asciiTheme="minorHAnsi" w:hAnsiTheme="minorHAnsi"/>
        </w:rPr>
        <w:t>Fizetési nehézségek esetén a bankok lehetővé teszi ügyfeleik számára, hogy önkéntesen, piaci áron értékesítsék eszközeiket, és az abból származó bevételt a hitel visszafizetésére fordítsák.</w:t>
      </w:r>
    </w:p>
    <w:p w:rsidR="005F2808" w:rsidRPr="003249D9" w:rsidRDefault="005F2808" w:rsidP="005F2808">
      <w:pPr>
        <w:pStyle w:val="TASTextheading2"/>
        <w:rPr>
          <w:rFonts w:asciiTheme="minorHAnsi" w:hAnsiTheme="minorHAnsi"/>
        </w:rPr>
      </w:pPr>
      <w:proofErr w:type="spellStart"/>
      <w:r w:rsidRPr="003249D9">
        <w:rPr>
          <w:rFonts w:asciiTheme="minorHAnsi" w:hAnsiTheme="minorHAnsi"/>
        </w:rPr>
        <w:t>Restrukturálás</w:t>
      </w:r>
      <w:proofErr w:type="spellEnd"/>
      <w:r w:rsidRPr="003249D9">
        <w:rPr>
          <w:rFonts w:asciiTheme="minorHAnsi" w:hAnsiTheme="minorHAnsi"/>
        </w:rPr>
        <w:t xml:space="preserve"> adósság-elengedéssel</w:t>
      </w:r>
    </w:p>
    <w:p w:rsidR="005F2808" w:rsidRPr="003249D9" w:rsidRDefault="005F2808" w:rsidP="005F2808">
      <w:pPr>
        <w:pStyle w:val="TASBullet1"/>
        <w:tabs>
          <w:tab w:val="left" w:pos="180"/>
        </w:tabs>
        <w:ind w:left="180"/>
        <w:rPr>
          <w:rFonts w:asciiTheme="minorHAnsi" w:hAnsiTheme="minorHAnsi"/>
        </w:rPr>
      </w:pPr>
      <w:r w:rsidRPr="003249D9">
        <w:rPr>
          <w:rFonts w:asciiTheme="minorHAnsi" w:hAnsiTheme="minorHAnsi"/>
        </w:rPr>
        <w:t xml:space="preserve">A </w:t>
      </w:r>
      <w:proofErr w:type="spellStart"/>
      <w:r w:rsidRPr="003249D9">
        <w:rPr>
          <w:rFonts w:asciiTheme="minorHAnsi" w:hAnsiTheme="minorHAnsi"/>
        </w:rPr>
        <w:t>restrukturálás</w:t>
      </w:r>
      <w:proofErr w:type="spellEnd"/>
      <w:r w:rsidRPr="003249D9">
        <w:rPr>
          <w:rFonts w:asciiTheme="minorHAnsi" w:hAnsiTheme="minorHAnsi"/>
        </w:rPr>
        <w:t xml:space="preserve"> adósság-elengedéssel esetén a fent bemutatott pénzügyi </w:t>
      </w:r>
      <w:proofErr w:type="spellStart"/>
      <w:r w:rsidRPr="003249D9">
        <w:rPr>
          <w:rFonts w:asciiTheme="minorHAnsi" w:hAnsiTheme="minorHAnsi"/>
        </w:rPr>
        <w:t>restrukturálási</w:t>
      </w:r>
      <w:proofErr w:type="spellEnd"/>
      <w:r w:rsidRPr="003249D9">
        <w:rPr>
          <w:rFonts w:asciiTheme="minorHAnsi" w:hAnsiTheme="minorHAnsi"/>
        </w:rPr>
        <w:t xml:space="preserve"> elemek mellett a kinnlevőségek egy részét elengedik. Ezt a megoldást jellemzően a hitel szerinti kifizetések átütemezésének sikertelen megkísérlését követően alkalmazzák.</w:t>
      </w:r>
    </w:p>
    <w:p w:rsidR="005F2808" w:rsidRPr="003249D9" w:rsidRDefault="005F2808" w:rsidP="005F2808">
      <w:pPr>
        <w:pStyle w:val="TASTextheading2"/>
        <w:rPr>
          <w:rFonts w:asciiTheme="minorHAnsi" w:hAnsiTheme="minorHAnsi"/>
        </w:rPr>
      </w:pPr>
      <w:r w:rsidRPr="003249D9">
        <w:rPr>
          <w:rFonts w:asciiTheme="minorHAnsi" w:hAnsiTheme="minorHAnsi"/>
        </w:rPr>
        <w:t>Újrafinanszírozás vagy újrafinanszírozás adósság-elengedéssel</w:t>
      </w:r>
    </w:p>
    <w:p w:rsidR="005F2808" w:rsidRPr="003249D9" w:rsidRDefault="005F2808" w:rsidP="005F2808">
      <w:pPr>
        <w:pStyle w:val="TASBullet1"/>
        <w:numPr>
          <w:ilvl w:val="0"/>
          <w:numId w:val="27"/>
        </w:numPr>
        <w:rPr>
          <w:rFonts w:asciiTheme="minorHAnsi" w:hAnsiTheme="minorHAnsi"/>
        </w:rPr>
      </w:pPr>
      <w:r w:rsidRPr="003249D9">
        <w:rPr>
          <w:rFonts w:asciiTheme="minorHAnsi" w:hAnsiTheme="minorHAnsi"/>
        </w:rPr>
        <w:t xml:space="preserve">Az újrafinanszírozási lehetőségek csak </w:t>
      </w:r>
      <w:proofErr w:type="gramStart"/>
      <w:r w:rsidRPr="003249D9">
        <w:rPr>
          <w:rFonts w:asciiTheme="minorHAnsi" w:hAnsiTheme="minorHAnsi"/>
        </w:rPr>
        <w:t>kis számú</w:t>
      </w:r>
      <w:proofErr w:type="gramEnd"/>
      <w:r w:rsidRPr="003249D9">
        <w:rPr>
          <w:rFonts w:asciiTheme="minorHAnsi" w:hAnsiTheme="minorHAnsi"/>
        </w:rPr>
        <w:t>, megbízható ügyfél számára érhetők el. Az újrafinanszírozás elősegítése érdekében a bankoknak adósság-elengedést kell ajánlaniuk más kereskedelmi bankok számára a kockázatos hitelek újrafinanszírozása érdekében.</w:t>
      </w:r>
      <w:r>
        <w:rPr>
          <w:rFonts w:asciiTheme="minorHAnsi" w:hAnsiTheme="minorHAnsi"/>
        </w:rPr>
        <w:t xml:space="preserve"> </w:t>
      </w:r>
    </w:p>
    <w:p w:rsidR="005F2808" w:rsidRPr="003249D9" w:rsidRDefault="005F2808" w:rsidP="005F2808">
      <w:pPr>
        <w:pStyle w:val="TASTextheading2"/>
        <w:rPr>
          <w:rFonts w:asciiTheme="minorHAnsi" w:hAnsiTheme="minorHAnsi"/>
        </w:rPr>
      </w:pPr>
      <w:r w:rsidRPr="003249D9">
        <w:rPr>
          <w:rFonts w:asciiTheme="minorHAnsi" w:hAnsiTheme="minorHAnsi"/>
        </w:rPr>
        <w:t>Az adósság átalakítása tőkévé</w:t>
      </w:r>
    </w:p>
    <w:p w:rsidR="005F2808" w:rsidRPr="003249D9" w:rsidRDefault="005F2808" w:rsidP="005F2808">
      <w:pPr>
        <w:pStyle w:val="TASBullet1"/>
        <w:numPr>
          <w:ilvl w:val="0"/>
          <w:numId w:val="27"/>
        </w:numPr>
        <w:rPr>
          <w:rFonts w:asciiTheme="minorHAnsi" w:hAnsiTheme="minorHAnsi"/>
        </w:rPr>
      </w:pPr>
      <w:r w:rsidRPr="003249D9">
        <w:rPr>
          <w:rFonts w:asciiTheme="minorHAnsi" w:hAnsiTheme="minorHAnsi"/>
        </w:rPr>
        <w:t>Az esetek elenyésző számában az adósság átalakítása tőkévé is elérhető opció a bankok számára. Ezt a megoldást ritkán alkalmazzák a gyakorlatban a pozíció későbbi elhagyásának nehézségei miatt.</w:t>
      </w:r>
    </w:p>
    <w:p w:rsidR="005F2808" w:rsidRPr="003249D9" w:rsidRDefault="005F2808" w:rsidP="005F2808">
      <w:pPr>
        <w:pStyle w:val="TASTextheading2"/>
        <w:rPr>
          <w:rFonts w:asciiTheme="minorHAnsi" w:hAnsiTheme="minorHAnsi"/>
        </w:rPr>
      </w:pPr>
      <w:r w:rsidRPr="003249D9">
        <w:rPr>
          <w:rFonts w:asciiTheme="minorHAnsi" w:hAnsiTheme="minorHAnsi"/>
        </w:rPr>
        <w:t>Adósságért eszköz csere</w:t>
      </w:r>
    </w:p>
    <w:p w:rsidR="005F2808" w:rsidRPr="003249D9" w:rsidRDefault="005F2808" w:rsidP="005F2808">
      <w:pPr>
        <w:pStyle w:val="TASBullet1"/>
        <w:numPr>
          <w:ilvl w:val="0"/>
          <w:numId w:val="27"/>
        </w:numPr>
        <w:rPr>
          <w:rFonts w:asciiTheme="minorHAnsi" w:hAnsiTheme="minorHAnsi"/>
        </w:rPr>
      </w:pPr>
      <w:r w:rsidRPr="003249D9">
        <w:rPr>
          <w:rFonts w:asciiTheme="minorHAnsi" w:hAnsiTheme="minorHAnsi"/>
        </w:rPr>
        <w:t>Ezt a megoldást többnyire ingatlanok esetén veszik igénybe meglehetősen ritkán, mivel a bankok nem szeretnek ingatlant vagy készletet tartani a könyvelésükben.</w:t>
      </w:r>
    </w:p>
    <w:p w:rsidR="005F2808" w:rsidRPr="003249D9" w:rsidRDefault="005F2808" w:rsidP="005F2808">
      <w:pPr>
        <w:pStyle w:val="TASTextheading2"/>
        <w:rPr>
          <w:rFonts w:asciiTheme="minorHAnsi" w:hAnsiTheme="minorHAnsi"/>
        </w:rPr>
      </w:pPr>
      <w:r w:rsidRPr="003249D9">
        <w:rPr>
          <w:rFonts w:asciiTheme="minorHAnsi" w:hAnsiTheme="minorHAnsi"/>
        </w:rPr>
        <w:t>Vezetőség leváltása</w:t>
      </w:r>
    </w:p>
    <w:p w:rsidR="005F2808" w:rsidRPr="003249D9" w:rsidRDefault="005F2808" w:rsidP="005F2808">
      <w:pPr>
        <w:pStyle w:val="TASBullet1"/>
        <w:numPr>
          <w:ilvl w:val="0"/>
          <w:numId w:val="27"/>
        </w:numPr>
        <w:rPr>
          <w:rFonts w:asciiTheme="minorHAnsi" w:hAnsiTheme="minorHAnsi"/>
        </w:rPr>
      </w:pPr>
      <w:r w:rsidRPr="003249D9">
        <w:rPr>
          <w:rFonts w:asciiTheme="minorHAnsi" w:hAnsiTheme="minorHAnsi"/>
        </w:rPr>
        <w:t xml:space="preserve">Némely esetben a vezetőség leváltása is megoldást jelenthet. A tulajdonosok érzelmi viszonya a vezetőséghez olykor a sikeres </w:t>
      </w:r>
      <w:proofErr w:type="spellStart"/>
      <w:r w:rsidRPr="003249D9">
        <w:rPr>
          <w:rFonts w:asciiTheme="minorHAnsi" w:hAnsiTheme="minorHAnsi"/>
        </w:rPr>
        <w:t>restrukturálás</w:t>
      </w:r>
      <w:proofErr w:type="spellEnd"/>
      <w:r w:rsidRPr="003249D9">
        <w:rPr>
          <w:rFonts w:asciiTheme="minorHAnsi" w:hAnsiTheme="minorHAnsi"/>
        </w:rPr>
        <w:t xml:space="preserve"> akadályát képezheti.</w:t>
      </w:r>
    </w:p>
    <w:p w:rsidR="005F2808" w:rsidRPr="003249D9" w:rsidRDefault="005F2808" w:rsidP="005F2808">
      <w:pPr>
        <w:pStyle w:val="TASTextheading2"/>
        <w:rPr>
          <w:rFonts w:asciiTheme="minorHAnsi" w:hAnsiTheme="minorHAnsi"/>
        </w:rPr>
      </w:pPr>
      <w:r w:rsidRPr="003249D9">
        <w:rPr>
          <w:rFonts w:asciiTheme="minorHAnsi" w:hAnsiTheme="minorHAnsi"/>
        </w:rPr>
        <w:t>Türelmi időszak, moratórium</w:t>
      </w:r>
    </w:p>
    <w:p w:rsidR="005F2808" w:rsidRPr="003249D9" w:rsidRDefault="005F2808" w:rsidP="005F2808">
      <w:pPr>
        <w:pStyle w:val="TASBullet1"/>
        <w:numPr>
          <w:ilvl w:val="0"/>
          <w:numId w:val="27"/>
        </w:numPr>
        <w:rPr>
          <w:rFonts w:asciiTheme="minorHAnsi" w:hAnsiTheme="minorHAnsi"/>
        </w:rPr>
      </w:pPr>
      <w:r w:rsidRPr="003249D9">
        <w:rPr>
          <w:rFonts w:asciiTheme="minorHAnsi" w:hAnsiTheme="minorHAnsi"/>
        </w:rPr>
        <w:t>Első lépésként a bankok általában türelmi időt vagy moratóriumot biztosítanak az adósnak, mely időszak alatt az adóst nem terheli részletfizetési kötelezettség. Ezzel az adós átmeneti pénzügyi nehézségei enyhíthetők.</w:t>
      </w:r>
    </w:p>
    <w:p w:rsidR="005F2808" w:rsidRPr="003249D9" w:rsidRDefault="005F2808" w:rsidP="005F2808">
      <w:pPr>
        <w:pStyle w:val="TASTextheading2"/>
        <w:rPr>
          <w:rFonts w:asciiTheme="minorHAnsi" w:hAnsiTheme="minorHAnsi"/>
        </w:rPr>
      </w:pPr>
      <w:r w:rsidRPr="003249D9">
        <w:rPr>
          <w:rFonts w:asciiTheme="minorHAnsi" w:hAnsiTheme="minorHAnsi"/>
        </w:rPr>
        <w:lastRenderedPageBreak/>
        <w:t>További biztosíték bekérése</w:t>
      </w:r>
    </w:p>
    <w:p w:rsidR="005F2808" w:rsidRPr="003249D9" w:rsidRDefault="005F2808" w:rsidP="005F2808">
      <w:pPr>
        <w:pStyle w:val="TASBullet1"/>
        <w:numPr>
          <w:ilvl w:val="0"/>
          <w:numId w:val="27"/>
        </w:numPr>
        <w:rPr>
          <w:rFonts w:asciiTheme="minorHAnsi" w:hAnsiTheme="minorHAnsi"/>
        </w:rPr>
      </w:pPr>
      <w:r w:rsidRPr="003249D9">
        <w:rPr>
          <w:rFonts w:asciiTheme="minorHAnsi" w:hAnsiTheme="minorHAnsi"/>
        </w:rPr>
        <w:t xml:space="preserve">Abban az esetben, ha a bank nincs meggyőződve az adós kielégítő pénzügyi helyzetéről, akkor kiegészítő hitelbiztosítékot vagy </w:t>
      </w:r>
      <w:proofErr w:type="spellStart"/>
      <w:r w:rsidRPr="003249D9">
        <w:rPr>
          <w:rFonts w:asciiTheme="minorHAnsi" w:hAnsiTheme="minorHAnsi"/>
        </w:rPr>
        <w:t>-fedezetet</w:t>
      </w:r>
      <w:proofErr w:type="spellEnd"/>
      <w:r w:rsidRPr="003249D9">
        <w:rPr>
          <w:rFonts w:asciiTheme="minorHAnsi" w:hAnsiTheme="minorHAnsi"/>
        </w:rPr>
        <w:t xml:space="preserve"> kérhet be. A bajba került adósok azonban általában nem tudnak további biztosítékot rendelkezésre állítani.</w:t>
      </w:r>
    </w:p>
    <w:p w:rsidR="005F2808" w:rsidRPr="003249D9" w:rsidRDefault="005F2808" w:rsidP="005F2808">
      <w:pPr>
        <w:pStyle w:val="TASBullet1"/>
        <w:numPr>
          <w:ilvl w:val="0"/>
          <w:numId w:val="27"/>
        </w:numPr>
        <w:rPr>
          <w:rFonts w:asciiTheme="minorHAnsi" w:hAnsiTheme="minorHAnsi"/>
        </w:rPr>
        <w:sectPr w:rsidR="005F2808" w:rsidRPr="003249D9">
          <w:headerReference w:type="default" r:id="rId53"/>
          <w:footerReference w:type="default" r:id="rId54"/>
          <w:pgSz w:w="11907" w:h="16839" w:code="9"/>
          <w:pgMar w:top="2304" w:right="792" w:bottom="1022" w:left="792" w:header="605" w:footer="706" w:gutter="0"/>
          <w:cols w:space="720"/>
          <w:docGrid w:linePitch="360"/>
        </w:sectPr>
      </w:pPr>
    </w:p>
    <w:p w:rsidR="00BF6ACB" w:rsidRPr="003249D9" w:rsidRDefault="00AB7CFF" w:rsidP="00BF6ACB">
      <w:pPr>
        <w:pStyle w:val="TASStraplinefirst"/>
        <w:framePr w:wrap="notBeside"/>
        <w:rPr>
          <w:rFonts w:asciiTheme="minorHAnsi" w:hAnsiTheme="minorHAnsi"/>
        </w:rPr>
      </w:pPr>
      <w:r w:rsidRPr="003249D9">
        <w:rPr>
          <w:rFonts w:asciiTheme="minorHAnsi" w:hAnsiTheme="minorHAnsi"/>
        </w:rPr>
        <w:lastRenderedPageBreak/>
        <w:t xml:space="preserve">A rossz hitelek </w:t>
      </w:r>
      <w:proofErr w:type="spellStart"/>
      <w:r w:rsidRPr="003249D9">
        <w:rPr>
          <w:rFonts w:asciiTheme="minorHAnsi" w:hAnsiTheme="minorHAnsi"/>
        </w:rPr>
        <w:t>restrukturálására</w:t>
      </w:r>
      <w:proofErr w:type="spellEnd"/>
      <w:r w:rsidRPr="003249D9">
        <w:rPr>
          <w:rFonts w:asciiTheme="minorHAnsi" w:hAnsiTheme="minorHAnsi"/>
        </w:rPr>
        <w:t>/kijáratására használt megközelítés</w:t>
      </w:r>
    </w:p>
    <w:p w:rsidR="00BF6ACB" w:rsidRPr="003249D9" w:rsidRDefault="00AB7CFF" w:rsidP="00BF6ACB">
      <w:pPr>
        <w:pStyle w:val="TASTextheading1"/>
        <w:rPr>
          <w:rFonts w:asciiTheme="minorHAnsi" w:hAnsiTheme="minorHAnsi"/>
        </w:rPr>
      </w:pPr>
      <w:proofErr w:type="spellStart"/>
      <w:r w:rsidRPr="003249D9">
        <w:rPr>
          <w:rFonts w:asciiTheme="minorHAnsi" w:hAnsiTheme="minorHAnsi"/>
        </w:rPr>
        <w:t>Nemfizető</w:t>
      </w:r>
      <w:proofErr w:type="spellEnd"/>
      <w:r w:rsidRPr="003249D9">
        <w:rPr>
          <w:rFonts w:asciiTheme="minorHAnsi" w:hAnsiTheme="minorHAnsi"/>
        </w:rPr>
        <w:t>/</w:t>
      </w:r>
      <w:proofErr w:type="spellStart"/>
      <w:r w:rsidRPr="003249D9">
        <w:rPr>
          <w:rFonts w:asciiTheme="minorHAnsi" w:hAnsiTheme="minorHAnsi"/>
        </w:rPr>
        <w:t>nemteljesítő</w:t>
      </w:r>
      <w:proofErr w:type="spellEnd"/>
      <w:r w:rsidRPr="003249D9">
        <w:rPr>
          <w:rFonts w:asciiTheme="minorHAnsi" w:hAnsiTheme="minorHAnsi"/>
        </w:rPr>
        <w:t xml:space="preserve"> adósok </w:t>
      </w:r>
      <w:proofErr w:type="spellStart"/>
      <w:r w:rsidRPr="003249D9">
        <w:rPr>
          <w:rFonts w:asciiTheme="minorHAnsi" w:hAnsiTheme="minorHAnsi"/>
        </w:rPr>
        <w:t>restrukturálása</w:t>
      </w:r>
      <w:proofErr w:type="spellEnd"/>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 xml:space="preserve">A bankok által alkalmazott elsődleges megközelítés a hitel </w:t>
      </w:r>
      <w:proofErr w:type="spellStart"/>
      <w:r w:rsidRPr="003249D9">
        <w:rPr>
          <w:rFonts w:asciiTheme="minorHAnsi" w:hAnsiTheme="minorHAnsi"/>
        </w:rPr>
        <w:t>restrukturálása</w:t>
      </w:r>
      <w:proofErr w:type="spellEnd"/>
      <w:r w:rsidRPr="003249D9">
        <w:rPr>
          <w:rFonts w:asciiTheme="minorHAnsi" w:hAnsiTheme="minorHAnsi"/>
        </w:rPr>
        <w:t xml:space="preserve"> (és megmentése), és így az adós teljesítésének fenntartása. Az </w:t>
      </w:r>
      <w:proofErr w:type="spellStart"/>
      <w:r w:rsidRPr="003249D9">
        <w:rPr>
          <w:rFonts w:asciiTheme="minorHAnsi" w:hAnsiTheme="minorHAnsi"/>
        </w:rPr>
        <w:t>NPL-ek</w:t>
      </w:r>
      <w:proofErr w:type="spellEnd"/>
      <w:r w:rsidRPr="003249D9">
        <w:rPr>
          <w:rFonts w:asciiTheme="minorHAnsi" w:hAnsiTheme="minorHAnsi"/>
        </w:rPr>
        <w:t xml:space="preserve"> értékesítése csak végső esetben megoldás.</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 xml:space="preserve">Az </w:t>
      </w:r>
      <w:proofErr w:type="spellStart"/>
      <w:r w:rsidRPr="003249D9">
        <w:rPr>
          <w:rFonts w:asciiTheme="minorHAnsi" w:hAnsiTheme="minorHAnsi"/>
        </w:rPr>
        <w:t>NPL-ek</w:t>
      </w:r>
      <w:proofErr w:type="spellEnd"/>
      <w:r w:rsidRPr="003249D9">
        <w:rPr>
          <w:rFonts w:asciiTheme="minorHAnsi" w:hAnsiTheme="minorHAnsi"/>
        </w:rPr>
        <w:t xml:space="preserve"> nagy száma, a nem likvid másodlagos piac, valamint a nem hatékony csőd- és felszámolási eljárások miatt a bankok komoly erőfeszítéseket tettek az adósok és a hitelek teljesítésének fenntartása érdekében. Az adósok támogatása és fizetésképtelenségük elkerülése érdekében különböző </w:t>
      </w:r>
      <w:proofErr w:type="spellStart"/>
      <w:r w:rsidRPr="003249D9">
        <w:rPr>
          <w:rFonts w:asciiTheme="minorHAnsi" w:hAnsiTheme="minorHAnsi"/>
        </w:rPr>
        <w:t>restrukturálási</w:t>
      </w:r>
      <w:proofErr w:type="spellEnd"/>
      <w:r w:rsidRPr="003249D9">
        <w:rPr>
          <w:rFonts w:asciiTheme="minorHAnsi" w:hAnsiTheme="minorHAnsi"/>
        </w:rPr>
        <w:t xml:space="preserve"> opciók kombinációját alkalmazták.</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 xml:space="preserve">A </w:t>
      </w:r>
      <w:proofErr w:type="spellStart"/>
      <w:r w:rsidRPr="003249D9">
        <w:rPr>
          <w:rFonts w:asciiTheme="minorHAnsi" w:hAnsiTheme="minorHAnsi"/>
        </w:rPr>
        <w:t>restrukturálás</w:t>
      </w:r>
      <w:proofErr w:type="spellEnd"/>
      <w:r w:rsidRPr="003249D9">
        <w:rPr>
          <w:rFonts w:asciiTheme="minorHAnsi" w:hAnsiTheme="minorHAnsi"/>
        </w:rPr>
        <w:t xml:space="preserve"> mellett a hitelek újrafinanszírozása ugyancsak kedvező megoldás a bankok számára ahhoz, hogy megszabaduljanak a rossz hitelektől, illetve erőforrás és tőkét szabadítsanak fel. A jelen piaci környezetben a rossz és kockázatos adósok újrafinanszírozása csak jelentős adósság-elengedés mellett lehetséges.</w:t>
      </w:r>
    </w:p>
    <w:p w:rsidR="00BF6ACB" w:rsidRPr="003249D9" w:rsidRDefault="00AB7CFF" w:rsidP="00BF6ACB">
      <w:pPr>
        <w:pStyle w:val="TASTextheading1"/>
        <w:rPr>
          <w:rFonts w:asciiTheme="minorHAnsi" w:hAnsiTheme="minorHAnsi"/>
        </w:rPr>
      </w:pPr>
      <w:r w:rsidRPr="003249D9">
        <w:rPr>
          <w:rFonts w:asciiTheme="minorHAnsi" w:hAnsiTheme="minorHAnsi"/>
        </w:rPr>
        <w:t>A rossz hitelek kijáratása</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 xml:space="preserve">A </w:t>
      </w:r>
      <w:proofErr w:type="spellStart"/>
      <w:r w:rsidRPr="003249D9">
        <w:rPr>
          <w:rFonts w:asciiTheme="minorHAnsi" w:hAnsiTheme="minorHAnsi"/>
        </w:rPr>
        <w:t>nemteljesítő</w:t>
      </w:r>
      <w:proofErr w:type="spellEnd"/>
      <w:r w:rsidRPr="003249D9">
        <w:rPr>
          <w:rFonts w:asciiTheme="minorHAnsi" w:hAnsiTheme="minorHAnsi"/>
        </w:rPr>
        <w:t xml:space="preserve"> hitelek kezelésére a bankok két eltérő megközelítést alkalmaznak:</w:t>
      </w:r>
    </w:p>
    <w:p w:rsidR="00BF6ACB" w:rsidRPr="003249D9" w:rsidRDefault="00AB7CFF" w:rsidP="009A73FD">
      <w:pPr>
        <w:pStyle w:val="TASBulletnumber"/>
        <w:numPr>
          <w:ilvl w:val="0"/>
          <w:numId w:val="19"/>
        </w:numPr>
        <w:ind w:left="900"/>
        <w:rPr>
          <w:rFonts w:asciiTheme="minorHAnsi" w:hAnsiTheme="minorHAnsi"/>
        </w:rPr>
      </w:pPr>
      <w:r w:rsidRPr="003249D9">
        <w:rPr>
          <w:rFonts w:asciiTheme="minorHAnsi" w:hAnsiTheme="minorHAnsi"/>
        </w:rPr>
        <w:t xml:space="preserve">Néhány bank az </w:t>
      </w:r>
      <w:proofErr w:type="spellStart"/>
      <w:r w:rsidRPr="003249D9">
        <w:rPr>
          <w:rFonts w:asciiTheme="minorHAnsi" w:hAnsiTheme="minorHAnsi"/>
        </w:rPr>
        <w:t>NPL-ek</w:t>
      </w:r>
      <w:proofErr w:type="spellEnd"/>
      <w:r w:rsidRPr="003249D9">
        <w:rPr>
          <w:rFonts w:asciiTheme="minorHAnsi" w:hAnsiTheme="minorHAnsi"/>
        </w:rPr>
        <w:t xml:space="preserve"> házon belüli kezelését részesíti előnyben. Ezek a pénzintézetek a csődtörvény módosításának fontosságát hangsúlyozzák az </w:t>
      </w:r>
      <w:proofErr w:type="spellStart"/>
      <w:r w:rsidRPr="003249D9">
        <w:rPr>
          <w:rFonts w:asciiTheme="minorHAnsi" w:hAnsiTheme="minorHAnsi"/>
        </w:rPr>
        <w:t>NPL-ek</w:t>
      </w:r>
      <w:proofErr w:type="spellEnd"/>
      <w:r w:rsidRPr="003249D9">
        <w:rPr>
          <w:rFonts w:asciiTheme="minorHAnsi" w:hAnsiTheme="minorHAnsi"/>
        </w:rPr>
        <w:t xml:space="preserve"> rendezésének elősegítése érdekében. </w:t>
      </w:r>
    </w:p>
    <w:p w:rsidR="00BF6ACB" w:rsidRPr="003249D9" w:rsidRDefault="00AB7CFF" w:rsidP="009A73FD">
      <w:pPr>
        <w:pStyle w:val="TASBulletnumber"/>
        <w:numPr>
          <w:ilvl w:val="0"/>
          <w:numId w:val="18"/>
        </w:numPr>
        <w:ind w:left="864"/>
        <w:rPr>
          <w:rFonts w:asciiTheme="minorHAnsi" w:hAnsiTheme="minorHAnsi"/>
        </w:rPr>
      </w:pPr>
      <w:r w:rsidRPr="003249D9">
        <w:rPr>
          <w:rFonts w:asciiTheme="minorHAnsi" w:hAnsiTheme="minorHAnsi"/>
        </w:rPr>
        <w:t xml:space="preserve">A bankok egy másik csoportja azonban a másodlagos piacon lévő </w:t>
      </w:r>
      <w:proofErr w:type="spellStart"/>
      <w:r w:rsidRPr="003249D9">
        <w:rPr>
          <w:rFonts w:asciiTheme="minorHAnsi" w:hAnsiTheme="minorHAnsi"/>
        </w:rPr>
        <w:t>NPL-ek</w:t>
      </w:r>
      <w:proofErr w:type="spellEnd"/>
      <w:r w:rsidRPr="003249D9">
        <w:rPr>
          <w:rFonts w:asciiTheme="minorHAnsi" w:hAnsiTheme="minorHAnsi"/>
        </w:rPr>
        <w:t xml:space="preserve"> értékesítésében látja a megoldást. Ezek a bankok az átlátható és likvid másodlagos piac létrehozását szorgalmazzák, amelyet részben az </w:t>
      </w:r>
      <w:proofErr w:type="spellStart"/>
      <w:r w:rsidRPr="003249D9">
        <w:rPr>
          <w:rFonts w:asciiTheme="minorHAnsi" w:hAnsiTheme="minorHAnsi"/>
        </w:rPr>
        <w:t>NPL-ek</w:t>
      </w:r>
      <w:proofErr w:type="spellEnd"/>
      <w:r w:rsidRPr="003249D9">
        <w:rPr>
          <w:rFonts w:asciiTheme="minorHAnsi" w:hAnsiTheme="minorHAnsi"/>
        </w:rPr>
        <w:t xml:space="preserve"> vevőivel szembeni engedélyeztetési követelmények egyszerűsítésével vagy megszüntetésével lehetne elérni. A csődtörvény módosítását ez a csoport is támogatja.</w:t>
      </w: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sectPr w:rsidR="00BF6ACB" w:rsidRPr="003249D9">
          <w:headerReference w:type="default" r:id="rId55"/>
          <w:footerReference w:type="default" r:id="rId56"/>
          <w:pgSz w:w="11907" w:h="16839" w:code="9"/>
          <w:pgMar w:top="2304" w:right="792" w:bottom="1022" w:left="792" w:header="605" w:footer="706" w:gutter="0"/>
          <w:cols w:space="720"/>
          <w:docGrid w:linePitch="360"/>
        </w:sectPr>
      </w:pPr>
    </w:p>
    <w:p w:rsidR="00BF6ACB" w:rsidRPr="003249D9" w:rsidRDefault="00AB7CFF" w:rsidP="00BF6ACB">
      <w:pPr>
        <w:pStyle w:val="TASSubsection"/>
        <w:framePr w:wrap="around"/>
        <w:rPr>
          <w:rFonts w:asciiTheme="minorHAnsi" w:hAnsiTheme="minorHAnsi"/>
        </w:rPr>
      </w:pPr>
      <w:bookmarkStart w:id="11" w:name="_Toc398885779"/>
      <w:bookmarkStart w:id="12" w:name="_Toc401154919"/>
      <w:bookmarkStart w:id="13" w:name="_Toc403750022"/>
      <w:r w:rsidRPr="003249D9">
        <w:rPr>
          <w:rFonts w:asciiTheme="minorHAnsi" w:hAnsiTheme="minorHAnsi"/>
        </w:rPr>
        <w:lastRenderedPageBreak/>
        <w:t>A változás előtt álló legnagyobb akadályok</w:t>
      </w:r>
      <w:bookmarkEnd w:id="11"/>
      <w:bookmarkEnd w:id="12"/>
      <w:bookmarkEnd w:id="13"/>
    </w:p>
    <w:p w:rsidR="00BF6ACB" w:rsidRPr="003249D9" w:rsidRDefault="00AB7CFF" w:rsidP="00BF6ACB">
      <w:pPr>
        <w:pStyle w:val="TASStraplinefirst"/>
        <w:framePr w:wrap="notBeside"/>
        <w:rPr>
          <w:rFonts w:asciiTheme="minorHAnsi" w:hAnsiTheme="minorHAnsi"/>
        </w:rPr>
      </w:pPr>
      <w:r w:rsidRPr="003249D9">
        <w:rPr>
          <w:rFonts w:asciiTheme="minorHAnsi" w:hAnsiTheme="minorHAnsi"/>
        </w:rPr>
        <w:t>Az érintett felek által megnevezett legfőbb akadályok</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A bankokkal és más érdekelt felekkel folytatott interjúk során számos akadályt azonosítottunk be.</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Az akadályokat jogi, adózási és egyéb akadályokként csoportosíthatjuk. A főbb összetevők:</w:t>
      </w:r>
    </w:p>
    <w:p w:rsidR="00BF6ACB" w:rsidRPr="003249D9" w:rsidRDefault="00AB7CFF" w:rsidP="00BF6ACB">
      <w:pPr>
        <w:pStyle w:val="TASTextheading1"/>
        <w:rPr>
          <w:rFonts w:asciiTheme="minorHAnsi" w:hAnsiTheme="minorHAnsi"/>
        </w:rPr>
      </w:pPr>
      <w:r w:rsidRPr="003249D9">
        <w:rPr>
          <w:rFonts w:asciiTheme="minorHAnsi" w:hAnsiTheme="minorHAnsi"/>
        </w:rPr>
        <w:t>Jogi</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Ebben a fejezetben csak az érdekelt felek által, az interjúkon említett jogi problémákkal fogunk foglalkozni. A jogi problémák és keretek részletes leírását az alábbi „Gyakorlati jogi kérdések és javaslatok” fejezet tartalmazza. Megjegyezzük továbbá, hogy egyes esetekben az érdekelt felek nem tettek jogi szempontból teljes mértékben pontosnak értékelhető kijelentéseket. Említést tettek például arra is, hogy nincs mód a felszámoló leváltására, holott ez törvény szerint lehetséges lenne, a gyakorlatban mégsem működik. A vonatkozó jogszabályokról pontos leírást a „Jogi háttér” című fejezetben adunk.</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A bankok által megnevezett akadályok többsége a jelenlegi jogi környezethez kapcsolódott. A csőd- és felszámolási eljárások kapcsán megnevezett általános problémák az alábbiak:</w:t>
      </w:r>
    </w:p>
    <w:p w:rsidR="00BF6ACB" w:rsidRPr="003249D9" w:rsidRDefault="00AB7CFF" w:rsidP="009A73FD">
      <w:pPr>
        <w:pStyle w:val="TASBullet2"/>
        <w:numPr>
          <w:ilvl w:val="1"/>
          <w:numId w:val="22"/>
        </w:numPr>
        <w:rPr>
          <w:rFonts w:asciiTheme="minorHAnsi" w:hAnsiTheme="minorHAnsi"/>
        </w:rPr>
      </w:pPr>
      <w:r w:rsidRPr="003249D9">
        <w:rPr>
          <w:rFonts w:asciiTheme="minorHAnsi" w:hAnsiTheme="minorHAnsi"/>
        </w:rPr>
        <w:t xml:space="preserve">az eljárások időtartama, </w:t>
      </w:r>
    </w:p>
    <w:p w:rsidR="00BF6ACB" w:rsidRPr="003249D9" w:rsidRDefault="00AB7CFF" w:rsidP="009A73FD">
      <w:pPr>
        <w:pStyle w:val="TASBullet2"/>
        <w:numPr>
          <w:ilvl w:val="1"/>
          <w:numId w:val="22"/>
        </w:numPr>
        <w:rPr>
          <w:rFonts w:asciiTheme="minorHAnsi" w:hAnsiTheme="minorHAnsi"/>
        </w:rPr>
      </w:pPr>
      <w:r w:rsidRPr="003249D9">
        <w:rPr>
          <w:rFonts w:asciiTheme="minorHAnsi" w:hAnsiTheme="minorHAnsi"/>
        </w:rPr>
        <w:t xml:space="preserve">az átláthatóság hiánya és a hitelezőknek a folyamatra való hatásának hiánya, valamint </w:t>
      </w:r>
    </w:p>
    <w:p w:rsidR="00BF6ACB" w:rsidRPr="003249D9" w:rsidRDefault="007430EB" w:rsidP="009A73FD">
      <w:pPr>
        <w:pStyle w:val="TASBullet2"/>
        <w:numPr>
          <w:ilvl w:val="1"/>
          <w:numId w:val="22"/>
        </w:numPr>
        <w:rPr>
          <w:rFonts w:asciiTheme="minorHAnsi" w:hAnsiTheme="minorHAnsi"/>
        </w:rPr>
      </w:pPr>
      <w:r w:rsidRPr="003249D9">
        <w:rPr>
          <w:rFonts w:asciiTheme="minorHAnsi" w:hAnsiTheme="minorHAnsi"/>
        </w:rPr>
        <w:t xml:space="preserve">az adósok </w:t>
      </w:r>
      <w:r w:rsidR="00AB7CFF" w:rsidRPr="003249D9">
        <w:rPr>
          <w:rFonts w:asciiTheme="minorHAnsi" w:hAnsiTheme="minorHAnsi"/>
        </w:rPr>
        <w:t>szándékos bűncselekményei, amelyekkel visszaélnek a csődeljárásokat/felszámolási eljárásokkal.</w:t>
      </w:r>
    </w:p>
    <w:p w:rsidR="00BF6ACB" w:rsidRPr="003249D9" w:rsidRDefault="00AB7CFF" w:rsidP="00BF6ACB">
      <w:pPr>
        <w:pStyle w:val="TASTextheading2"/>
        <w:rPr>
          <w:rFonts w:asciiTheme="minorHAnsi" w:hAnsiTheme="minorHAnsi"/>
        </w:rPr>
      </w:pPr>
      <w:r w:rsidRPr="003249D9">
        <w:rPr>
          <w:rFonts w:asciiTheme="minorHAnsi" w:hAnsiTheme="minorHAnsi"/>
        </w:rPr>
        <w:t>A csődeljárással kapcsolatban</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 xml:space="preserve">A felszámolást megelőző eljárás bevezetését a bankok többsége nem támogatta, mivel Magyarországon ennek az előfeltétele mind a hitelezők, mind pedig az adósok szemléletének megváltozása lett volna. A hitelezők jelenleg az „érkezési sorrendben történő kiszolgálás” elvét követik, és nincsenek általánosságban elfogadott szabályai a hitelezői együttműködésnek. Az adóhivatal pedig általában nem érdekelt az adós bármilyen módon történő </w:t>
      </w:r>
      <w:proofErr w:type="spellStart"/>
      <w:r w:rsidRPr="003249D9">
        <w:rPr>
          <w:rFonts w:asciiTheme="minorHAnsi" w:hAnsiTheme="minorHAnsi"/>
        </w:rPr>
        <w:t>restrukturálásában</w:t>
      </w:r>
      <w:proofErr w:type="spellEnd"/>
      <w:r w:rsidRPr="003249D9">
        <w:rPr>
          <w:rFonts w:asciiTheme="minorHAnsi" w:hAnsiTheme="minorHAnsi"/>
        </w:rPr>
        <w:t>.</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A csődeljárásokat nem hajtják végre megfelelően Magyarországon, és általában csak a felszámolás késleltetésére törekednek vele. Az adós cég tulajdonosai nincsenek tisztában azzal, hogy a csődeljárás során a bank oldaláról további finanszírozásra van szükség (nincsenek előzetes üzleti tervek), ami még kevésbé teszi a bankokat érdekeltté a csőd utáni elszámolás sikerének elősegítésében.</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Miután a bíróságnak/vagyonfelügyelőnek nem áll módjában részletesen vizsgálni a hitelezők és az adós kapcsolatát vagy a hitelezők követeléseinek jogalapját, ezért fiktív hitelezők – akik gyakran valamilyen úton kapcsolódnak az adóshoz – jelennek meg a csődeljárásban a szavazás befolyásolása érdekében.</w:t>
      </w:r>
    </w:p>
    <w:p w:rsidR="00BF6ACB" w:rsidRPr="003249D9" w:rsidRDefault="00AB7CFF" w:rsidP="00BF6ACB">
      <w:pPr>
        <w:pStyle w:val="TASTextheading2"/>
        <w:rPr>
          <w:rFonts w:asciiTheme="minorHAnsi" w:hAnsiTheme="minorHAnsi"/>
        </w:rPr>
      </w:pPr>
      <w:r w:rsidRPr="003249D9">
        <w:rPr>
          <w:rFonts w:asciiTheme="minorHAnsi" w:hAnsiTheme="minorHAnsi"/>
        </w:rPr>
        <w:t>A felszámolási eljárással kapcsolatban</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Számos megbízott felszámoló bíró esetén nincs elegendő kapacitás a követelések kivizsgálására, ezért az eljárások időtartama kitolódik és elmarad a felszámolók tevékenységének napi szintű felügyelete is.</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Nincs olyan széles körben ismert (kellőképp hirdetett) és felhasználóbarát pályázati oldal, amely gyakorlatban lehetővé tenné az ajánlattételt.</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Annak a lehetősége, hogy elégedetlenség esetén leváltsák a felszámolót nem működik hatékonyan Magyarországon, többek között a bírák előírásokhoz való ragaszkodása és a felszámolók kötelezettségeinek részletes szabályozásának hiánya miatt.</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A felszámolási eljárásokat túlságosan lassan hajtják végre, azonban a felszámolások esetén törvényileg meghatározott, két éves határidőhöz közeledve a bírák az esetek azonnali lezárására törekednek figyelmen kívül hagyva a hitelező és a felszámoló között folyamatban lévő hitelrendezési egyeztetéseket.</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A felszámolók jogában áll felmondani az adósok megállapodásait, a hitelezők azonban nem kérhetik a felszámolót, hogy mondja fel ezeket a megállapodásokat.</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A jogi akadályok részletesebb összefoglalásáért kérjük, tekintse meg a „Gyakorlati jogi kérdések és javaslatok” című fejezetet.</w:t>
      </w:r>
    </w:p>
    <w:p w:rsidR="00BF6ACB" w:rsidRPr="003249D9" w:rsidRDefault="00AB7CFF" w:rsidP="00BF6ACB">
      <w:pPr>
        <w:pStyle w:val="TASTextheading2"/>
        <w:rPr>
          <w:rFonts w:asciiTheme="minorHAnsi" w:hAnsiTheme="minorHAnsi"/>
        </w:rPr>
      </w:pPr>
      <w:r w:rsidRPr="003249D9">
        <w:rPr>
          <w:rFonts w:asciiTheme="minorHAnsi" w:hAnsiTheme="minorHAnsi"/>
        </w:rPr>
        <w:t>A követelések átruházása</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Az engedélyeztetés kérdése</w:t>
      </w:r>
    </w:p>
    <w:p w:rsidR="00BF6ACB" w:rsidRPr="003249D9" w:rsidRDefault="00AB7CFF" w:rsidP="009A73FD">
      <w:pPr>
        <w:pStyle w:val="TASBullet2"/>
        <w:numPr>
          <w:ilvl w:val="1"/>
          <w:numId w:val="26"/>
        </w:numPr>
        <w:rPr>
          <w:rFonts w:asciiTheme="minorHAnsi" w:hAnsiTheme="minorHAnsi"/>
        </w:rPr>
      </w:pPr>
      <w:r w:rsidRPr="003249D9">
        <w:rPr>
          <w:rFonts w:asciiTheme="minorHAnsi" w:hAnsiTheme="minorHAnsi"/>
        </w:rPr>
        <w:t xml:space="preserve">A sikertelen </w:t>
      </w:r>
      <w:proofErr w:type="spellStart"/>
      <w:r w:rsidRPr="003249D9">
        <w:rPr>
          <w:rFonts w:asciiTheme="minorHAnsi" w:hAnsiTheme="minorHAnsi"/>
        </w:rPr>
        <w:t>restrukturálások</w:t>
      </w:r>
      <w:proofErr w:type="spellEnd"/>
      <w:r w:rsidRPr="003249D9">
        <w:rPr>
          <w:rFonts w:asciiTheme="minorHAnsi" w:hAnsiTheme="minorHAnsi"/>
        </w:rPr>
        <w:t xml:space="preserve"> nagy számáért legnagyobb mértékben a likvid másodlagos piac hiánya tehető felelőssé. A magyar piac méretét és a magyar vállalati </w:t>
      </w:r>
      <w:proofErr w:type="spellStart"/>
      <w:r w:rsidRPr="003249D9">
        <w:rPr>
          <w:rFonts w:asciiTheme="minorHAnsi" w:hAnsiTheme="minorHAnsi"/>
        </w:rPr>
        <w:t>NPL-portfolió</w:t>
      </w:r>
      <w:proofErr w:type="spellEnd"/>
      <w:r w:rsidRPr="003249D9">
        <w:rPr>
          <w:rFonts w:asciiTheme="minorHAnsi" w:hAnsiTheme="minorHAnsi"/>
        </w:rPr>
        <w:t xml:space="preserve"> átlagos ügyleti méretét figyelembe véve mind a belső, mind pedig a külső (nem magyar) potenciális ajánlattevők érdekeinek érvényesülését segíteni kell.</w:t>
      </w:r>
    </w:p>
    <w:p w:rsidR="00BF6ACB" w:rsidRPr="003249D9" w:rsidRDefault="00AB7CFF" w:rsidP="009A73FD">
      <w:pPr>
        <w:pStyle w:val="TASBullet2"/>
        <w:numPr>
          <w:ilvl w:val="1"/>
          <w:numId w:val="26"/>
        </w:numPr>
        <w:rPr>
          <w:rFonts w:asciiTheme="minorHAnsi" w:hAnsiTheme="minorHAnsi"/>
        </w:rPr>
      </w:pPr>
      <w:r w:rsidRPr="003249D9">
        <w:rPr>
          <w:rFonts w:asciiTheme="minorHAnsi" w:hAnsiTheme="minorHAnsi"/>
        </w:rPr>
        <w:lastRenderedPageBreak/>
        <w:t xml:space="preserve">A másodlagos piacok </w:t>
      </w:r>
      <w:r w:rsidR="008A0243">
        <w:rPr>
          <w:rFonts w:asciiTheme="minorHAnsi" w:hAnsiTheme="minorHAnsi"/>
        </w:rPr>
        <w:t xml:space="preserve">NPL vásárlással kapcsolatos </w:t>
      </w:r>
      <w:r w:rsidRPr="003249D9">
        <w:rPr>
          <w:rFonts w:asciiTheme="minorHAnsi" w:hAnsiTheme="minorHAnsi"/>
        </w:rPr>
        <w:t xml:space="preserve">étvágyát növelné például a </w:t>
      </w:r>
      <w:r w:rsidR="00DC26B4">
        <w:rPr>
          <w:rFonts w:asciiTheme="minorHAnsi" w:hAnsiTheme="minorHAnsi"/>
        </w:rPr>
        <w:t xml:space="preserve">követelésvásárlással kapcsolatos </w:t>
      </w:r>
      <w:r w:rsidRPr="003249D9">
        <w:rPr>
          <w:rFonts w:asciiTheme="minorHAnsi" w:hAnsiTheme="minorHAnsi"/>
        </w:rPr>
        <w:t>szabályozói teher enyhítése.</w:t>
      </w:r>
      <w:r w:rsidR="004A6E8B">
        <w:rPr>
          <w:rFonts w:asciiTheme="minorHAnsi" w:hAnsiTheme="minorHAnsi"/>
        </w:rPr>
        <w:t xml:space="preserve"> Ugyanakkor </w:t>
      </w:r>
      <w:r w:rsidR="00CA4393">
        <w:rPr>
          <w:rFonts w:asciiTheme="minorHAnsi" w:hAnsiTheme="minorHAnsi"/>
        </w:rPr>
        <w:t xml:space="preserve">az MNB részéről alapos megfontolást igényel </w:t>
      </w:r>
      <w:r w:rsidR="00B87AB6">
        <w:rPr>
          <w:rFonts w:asciiTheme="minorHAnsi" w:hAnsiTheme="minorHAnsi"/>
        </w:rPr>
        <w:t xml:space="preserve">az </w:t>
      </w:r>
      <w:proofErr w:type="spellStart"/>
      <w:r w:rsidR="00B87AB6">
        <w:rPr>
          <w:rFonts w:asciiTheme="minorHAnsi" w:hAnsiTheme="minorHAnsi"/>
        </w:rPr>
        <w:t>NPL-ek</w:t>
      </w:r>
      <w:proofErr w:type="spellEnd"/>
      <w:r w:rsidR="00B87AB6">
        <w:rPr>
          <w:rFonts w:asciiTheme="minorHAnsi" w:hAnsiTheme="minorHAnsi"/>
        </w:rPr>
        <w:t xml:space="preserve"> megvásárlóira vonatkozó szabályozási követelmények bármilyen enyhítése.</w:t>
      </w:r>
    </w:p>
    <w:p w:rsidR="00BF6ACB" w:rsidRPr="003249D9" w:rsidRDefault="00AB7CFF" w:rsidP="009A73FD">
      <w:pPr>
        <w:pStyle w:val="TASBullet2"/>
        <w:numPr>
          <w:ilvl w:val="1"/>
          <w:numId w:val="26"/>
        </w:numPr>
        <w:rPr>
          <w:rFonts w:asciiTheme="minorHAnsi" w:hAnsiTheme="minorHAnsi"/>
        </w:rPr>
      </w:pPr>
      <w:r w:rsidRPr="003249D9">
        <w:rPr>
          <w:rFonts w:asciiTheme="minorHAnsi" w:hAnsiTheme="minorHAnsi"/>
        </w:rPr>
        <w:t>A múltban – a Pénzügyi Szervezetek Állami Felügyelete (melynek az MNB a jogutódja) által, a követelések üzletszerű vételének definíciójával kapcsolatban megfogalmazott (és nyilvánosan elérhető) állásfoglalások alapján – a Pénzügyi Szervezetek Állami Felügyelete által alkalmazott gyakorlat az volt, hogy egy banktól akárcsak egyetlen követelést megvásárló szervezetet is kötelezték a megfelelő engedélyeztetési eljárásra vagy a magyarországi útlevél megszerzésére. Ez a követelmény alkalmazandó volt függetlenül attól, hogy a hány követelést vásárolnak, hány adós érintett, teljes szerződéses pozíciót vagy egyetlen követelést vásároltak, illetve attól, hogy az adós számára a követelés új tulajdonosa nyújtott-e bármilyen kapcsolódó szolgáltatást.</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A biztonsági érdekek fennmaradása átruházást követően</w:t>
      </w:r>
    </w:p>
    <w:p w:rsidR="00BF6ACB" w:rsidRPr="003249D9" w:rsidRDefault="00AB7CFF" w:rsidP="009A73FD">
      <w:pPr>
        <w:pStyle w:val="TASBullet2"/>
        <w:numPr>
          <w:ilvl w:val="1"/>
          <w:numId w:val="26"/>
        </w:numPr>
        <w:rPr>
          <w:rFonts w:asciiTheme="minorHAnsi" w:hAnsiTheme="minorHAnsi"/>
        </w:rPr>
      </w:pPr>
      <w:r w:rsidRPr="003249D9">
        <w:rPr>
          <w:rFonts w:asciiTheme="minorHAnsi" w:hAnsiTheme="minorHAnsi"/>
        </w:rPr>
        <w:t xml:space="preserve">Az előbbiekkel összefüggésben biztosítani kell, hogy egy vagy több NPL értékesítésekor az új hitelező a jelenlegi hitelező kötelezettségeit átvállalja, különösen a biztosítéki szerződések esetén. </w:t>
      </w:r>
    </w:p>
    <w:p w:rsidR="00BF6ACB" w:rsidRPr="003249D9" w:rsidRDefault="00AB7CFF" w:rsidP="009A73FD">
      <w:pPr>
        <w:pStyle w:val="TASBullet2"/>
        <w:numPr>
          <w:ilvl w:val="1"/>
          <w:numId w:val="26"/>
        </w:numPr>
        <w:rPr>
          <w:rFonts w:asciiTheme="minorHAnsi" w:hAnsiTheme="minorHAnsi"/>
        </w:rPr>
      </w:pPr>
      <w:r w:rsidRPr="003249D9">
        <w:rPr>
          <w:rFonts w:asciiTheme="minorHAnsi" w:hAnsiTheme="minorHAnsi"/>
        </w:rPr>
        <w:t xml:space="preserve">E tekintetben meg kell jegyezni, hogy az Új Polgári Törvénykönyv ellentmondásokat teremthet. A 6:208.§ (3) bekezdés szerint a zálogjog természetétől függetlenül, a zálogjogot újonnan létesítettnek kell tekinteni a teljes szerződés átruházása esetén. </w:t>
      </w:r>
    </w:p>
    <w:p w:rsidR="00BF6ACB" w:rsidRPr="003249D9" w:rsidRDefault="00AB7CFF" w:rsidP="009A73FD">
      <w:pPr>
        <w:pStyle w:val="TASBullet2"/>
        <w:numPr>
          <w:ilvl w:val="1"/>
          <w:numId w:val="26"/>
        </w:numPr>
        <w:rPr>
          <w:rFonts w:asciiTheme="minorHAnsi" w:hAnsiTheme="minorHAnsi"/>
        </w:rPr>
      </w:pPr>
      <w:r w:rsidRPr="003249D9">
        <w:rPr>
          <w:rFonts w:asciiTheme="minorHAnsi" w:hAnsiTheme="minorHAnsi"/>
        </w:rPr>
        <w:t>Megjegyezzük azonban, hogy:</w:t>
      </w:r>
    </w:p>
    <w:p w:rsidR="00BF6ACB" w:rsidRPr="003249D9" w:rsidRDefault="00AB7CFF" w:rsidP="009A73FD">
      <w:pPr>
        <w:pStyle w:val="TASBulletnumber"/>
        <w:numPr>
          <w:ilvl w:val="0"/>
          <w:numId w:val="21"/>
        </w:numPr>
        <w:ind w:left="810"/>
        <w:rPr>
          <w:rFonts w:asciiTheme="minorHAnsi" w:hAnsiTheme="minorHAnsi"/>
        </w:rPr>
      </w:pPr>
      <w:r w:rsidRPr="003249D9">
        <w:rPr>
          <w:rFonts w:asciiTheme="minorHAnsi" w:hAnsiTheme="minorHAnsi"/>
        </w:rPr>
        <w:t xml:space="preserve">nem bizonyos, hogy az </w:t>
      </w:r>
      <w:proofErr w:type="spellStart"/>
      <w:r w:rsidRPr="003249D9">
        <w:rPr>
          <w:rFonts w:asciiTheme="minorHAnsi" w:hAnsiTheme="minorHAnsi"/>
        </w:rPr>
        <w:t>NPL-ek</w:t>
      </w:r>
      <w:proofErr w:type="spellEnd"/>
      <w:r w:rsidRPr="003249D9">
        <w:rPr>
          <w:rFonts w:asciiTheme="minorHAnsi" w:hAnsiTheme="minorHAnsi"/>
        </w:rPr>
        <w:t xml:space="preserve"> átruházhatók-e másik hitelezőre a teljes szerződés átruházásának új, magyar jogi koncepciójától eltérő módon is, pl. csak átengedéssel, valamint </w:t>
      </w:r>
    </w:p>
    <w:p w:rsidR="00BF6ACB" w:rsidRPr="003249D9" w:rsidRDefault="00AB7CFF" w:rsidP="009A73FD">
      <w:pPr>
        <w:pStyle w:val="TASBulletnumber"/>
        <w:numPr>
          <w:ilvl w:val="0"/>
          <w:numId w:val="18"/>
        </w:numPr>
        <w:ind w:left="810"/>
        <w:rPr>
          <w:rFonts w:asciiTheme="minorHAnsi" w:hAnsiTheme="minorHAnsi"/>
        </w:rPr>
      </w:pPr>
      <w:r w:rsidRPr="003249D9">
        <w:rPr>
          <w:rFonts w:asciiTheme="minorHAnsi" w:hAnsiTheme="minorHAnsi"/>
        </w:rPr>
        <w:t>az Új Polgári Törvénykönyv 6:208.§ (3) bekezdése szabályozza az ekképpen újonnan létesített biztosítéki szerződések besorolását,</w:t>
      </w:r>
    </w:p>
    <w:p w:rsidR="00BF6ACB" w:rsidRPr="003249D9" w:rsidRDefault="00AB7CFF" w:rsidP="00BF6ACB">
      <w:pPr>
        <w:pStyle w:val="TASBullet1"/>
        <w:numPr>
          <w:ilvl w:val="0"/>
          <w:numId w:val="0"/>
        </w:numPr>
        <w:ind w:left="288"/>
        <w:rPr>
          <w:rFonts w:asciiTheme="minorHAnsi" w:hAnsiTheme="minorHAnsi"/>
        </w:rPr>
      </w:pPr>
      <w:proofErr w:type="gramStart"/>
      <w:r w:rsidRPr="003249D9">
        <w:rPr>
          <w:rFonts w:asciiTheme="minorHAnsi" w:hAnsiTheme="minorHAnsi"/>
        </w:rPr>
        <w:t>nem</w:t>
      </w:r>
      <w:proofErr w:type="gramEnd"/>
      <w:r w:rsidRPr="003249D9">
        <w:rPr>
          <w:rFonts w:asciiTheme="minorHAnsi" w:hAnsiTheme="minorHAnsi"/>
        </w:rPr>
        <w:t xml:space="preserve"> tisztázott továbbá, hogy a biztosítéki szerződések megerősített és megtámadhatatlan természete (a megerősítési időszakokért lásd: a „Jogi háttér” című fejezet 5.9., „Az érvénytelenítésnek kitett ügyletek” című része) nem vitatható módon biztosan megtartható-e abban az esetben, ha az </w:t>
      </w:r>
      <w:proofErr w:type="spellStart"/>
      <w:r w:rsidRPr="003249D9">
        <w:rPr>
          <w:rFonts w:asciiTheme="minorHAnsi" w:hAnsiTheme="minorHAnsi"/>
        </w:rPr>
        <w:t>NPL-t</w:t>
      </w:r>
      <w:proofErr w:type="spellEnd"/>
      <w:r w:rsidRPr="003249D9">
        <w:rPr>
          <w:rFonts w:asciiTheme="minorHAnsi" w:hAnsiTheme="minorHAnsi"/>
        </w:rPr>
        <w:t xml:space="preserve"> átruházták.</w:t>
      </w:r>
    </w:p>
    <w:p w:rsidR="00BF6ACB" w:rsidRPr="003249D9" w:rsidRDefault="00AB7CFF" w:rsidP="00BF6ACB">
      <w:pPr>
        <w:pStyle w:val="TASTextheading1"/>
        <w:rPr>
          <w:rFonts w:asciiTheme="minorHAnsi" w:hAnsiTheme="minorHAnsi"/>
        </w:rPr>
      </w:pPr>
      <w:r w:rsidRPr="003249D9">
        <w:rPr>
          <w:rFonts w:asciiTheme="minorHAnsi" w:hAnsiTheme="minorHAnsi"/>
        </w:rPr>
        <w:t>Adózás és könyvelés</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A közvetlen állami támogatás tiltása miatt az állami hatóságok (különösen a nemzeti adóhatóság) nincs abban a helyzetben, hogy olyan egyezségi ajánlatot fogadjon el, amely nem a követelések 100%-os beszedésével járna.</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 xml:space="preserve">Azokban az esetekben, amikor az </w:t>
      </w:r>
      <w:proofErr w:type="spellStart"/>
      <w:r w:rsidRPr="003249D9">
        <w:rPr>
          <w:rFonts w:asciiTheme="minorHAnsi" w:hAnsiTheme="minorHAnsi"/>
        </w:rPr>
        <w:t>NPL-ek</w:t>
      </w:r>
      <w:proofErr w:type="spellEnd"/>
      <w:r w:rsidRPr="003249D9">
        <w:rPr>
          <w:rFonts w:asciiTheme="minorHAnsi" w:hAnsiTheme="minorHAnsi"/>
        </w:rPr>
        <w:t xml:space="preserve"> felvásárlója egy magyar vállalatot bíz meg az </w:t>
      </w:r>
      <w:proofErr w:type="spellStart"/>
      <w:r w:rsidRPr="003249D9">
        <w:rPr>
          <w:rFonts w:asciiTheme="minorHAnsi" w:hAnsiTheme="minorHAnsi"/>
        </w:rPr>
        <w:t>NPL-ek</w:t>
      </w:r>
      <w:proofErr w:type="spellEnd"/>
      <w:r w:rsidRPr="003249D9">
        <w:rPr>
          <w:rFonts w:asciiTheme="minorHAnsi" w:hAnsiTheme="minorHAnsi"/>
        </w:rPr>
        <w:t xml:space="preserve"> behajtásával és kezelésével, a szolgáltatási díj áfa kezelését illető bizonytalanság nehézségeket okozhat a kinnlevőségek felvásárlója számára. (Általános szabályként a behajtási tevékenységért járó szolgáltatási díj áfa köteles, míg a követelés kezeléséhez kapcsolódó szolgáltatási díj bizonyos esetekben lehet áfa </w:t>
      </w:r>
      <w:proofErr w:type="gramStart"/>
      <w:r w:rsidRPr="003249D9">
        <w:rPr>
          <w:rFonts w:asciiTheme="minorHAnsi" w:hAnsiTheme="minorHAnsi"/>
        </w:rPr>
        <w:t>mentes</w:t>
      </w:r>
      <w:proofErr w:type="gramEnd"/>
      <w:r w:rsidRPr="003249D9">
        <w:rPr>
          <w:rFonts w:asciiTheme="minorHAnsi" w:hAnsiTheme="minorHAnsi"/>
        </w:rPr>
        <w:t>.</w:t>
      </w:r>
    </w:p>
    <w:p w:rsidR="00BF6ACB" w:rsidRPr="003249D9" w:rsidRDefault="00AB7CFF" w:rsidP="009A73FD">
      <w:pPr>
        <w:pStyle w:val="TASBullet1"/>
        <w:numPr>
          <w:ilvl w:val="0"/>
          <w:numId w:val="26"/>
        </w:numPr>
        <w:rPr>
          <w:rFonts w:asciiTheme="minorHAnsi" w:hAnsiTheme="minorHAnsi"/>
        </w:rPr>
      </w:pPr>
      <w:r w:rsidRPr="003249D9">
        <w:rPr>
          <w:rFonts w:asciiTheme="minorHAnsi" w:hAnsiTheme="minorHAnsi"/>
        </w:rPr>
        <w:t xml:space="preserve">A hitelkötelezettség részleges elengedése következtében </w:t>
      </w:r>
      <w:r w:rsidR="00392068">
        <w:rPr>
          <w:rFonts w:asciiTheme="minorHAnsi" w:hAnsiTheme="minorHAnsi"/>
        </w:rPr>
        <w:t>kimutatott</w:t>
      </w:r>
      <w:r w:rsidRPr="003249D9">
        <w:rPr>
          <w:rFonts w:asciiTheme="minorHAnsi" w:hAnsiTheme="minorHAnsi"/>
        </w:rPr>
        <w:t xml:space="preserve"> bevétel az adós számára társaságiadó-köteles, amely likviditási gondokat okozhat a </w:t>
      </w:r>
      <w:proofErr w:type="spellStart"/>
      <w:r w:rsidRPr="003249D9">
        <w:rPr>
          <w:rFonts w:asciiTheme="minorHAnsi" w:hAnsiTheme="minorHAnsi"/>
        </w:rPr>
        <w:t>restrukturált</w:t>
      </w:r>
      <w:proofErr w:type="spellEnd"/>
      <w:r w:rsidRPr="003249D9">
        <w:rPr>
          <w:rFonts w:asciiTheme="minorHAnsi" w:hAnsiTheme="minorHAnsi"/>
        </w:rPr>
        <w:t xml:space="preserve"> adósok számára, mivel az nem </w:t>
      </w:r>
      <w:r w:rsidR="00392068">
        <w:rPr>
          <w:rFonts w:asciiTheme="minorHAnsi" w:hAnsiTheme="minorHAnsi"/>
        </w:rPr>
        <w:t xml:space="preserve">üthető ki tejes mértékben a korábbi évekről áthozott </w:t>
      </w:r>
      <w:r w:rsidRPr="003249D9">
        <w:rPr>
          <w:rFonts w:asciiTheme="minorHAnsi" w:hAnsiTheme="minorHAnsi"/>
        </w:rPr>
        <w:t>a</w:t>
      </w:r>
      <w:r w:rsidR="00392068">
        <w:rPr>
          <w:rFonts w:asciiTheme="minorHAnsi" w:hAnsiTheme="minorHAnsi"/>
        </w:rPr>
        <w:t>dó</w:t>
      </w:r>
      <w:r w:rsidRPr="003249D9">
        <w:rPr>
          <w:rFonts w:asciiTheme="minorHAnsi" w:hAnsiTheme="minorHAnsi"/>
        </w:rPr>
        <w:t>veszteség</w:t>
      </w:r>
      <w:r w:rsidR="00392068">
        <w:rPr>
          <w:rFonts w:asciiTheme="minorHAnsi" w:hAnsiTheme="minorHAnsi"/>
        </w:rPr>
        <w:t>ekkel</w:t>
      </w:r>
      <w:r w:rsidRPr="003249D9">
        <w:rPr>
          <w:rFonts w:asciiTheme="minorHAnsi" w:hAnsiTheme="minorHAnsi"/>
        </w:rPr>
        <w:t>.</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 xml:space="preserve">A rossz hiteleket a bankok csak akkor írhatják le, ha azok behajthatatlan kinnlevőségeknek minősülnek a felszámolás végén. Néhány bank javasolta, hogy képezzenek kivételt a bankok e szabályozás alól, mivel az évekig húzódó felszámolási eljárások késleltetik a már 100%-osan bizonytalan hitelek leírását. </w:t>
      </w:r>
    </w:p>
    <w:p w:rsidR="00BF6ACB" w:rsidRPr="003249D9" w:rsidRDefault="00AB7CFF" w:rsidP="009A73FD">
      <w:pPr>
        <w:pStyle w:val="TASBullet1"/>
        <w:numPr>
          <w:ilvl w:val="0"/>
          <w:numId w:val="26"/>
        </w:numPr>
        <w:rPr>
          <w:rFonts w:asciiTheme="minorHAnsi" w:hAnsiTheme="minorHAnsi"/>
        </w:rPr>
      </w:pPr>
      <w:r w:rsidRPr="003249D9">
        <w:rPr>
          <w:rFonts w:asciiTheme="minorHAnsi" w:hAnsiTheme="minorHAnsi"/>
        </w:rPr>
        <w:t xml:space="preserve"> Az ingatlanok biztosítékként történő szerzése </w:t>
      </w:r>
      <w:r w:rsidR="00392068">
        <w:rPr>
          <w:rFonts w:asciiTheme="minorHAnsi" w:hAnsiTheme="minorHAnsi"/>
        </w:rPr>
        <w:t xml:space="preserve">vagyonátruházási illeték </w:t>
      </w:r>
      <w:r w:rsidRPr="003249D9">
        <w:rPr>
          <w:rFonts w:asciiTheme="minorHAnsi" w:hAnsiTheme="minorHAnsi"/>
        </w:rPr>
        <w:t>hatálya alá esik, amelyet csak csekély problémaként említettek, mégis komoly fizetési kötelezettséget jelenthet a bankok számára.</w:t>
      </w:r>
    </w:p>
    <w:p w:rsidR="00BF6ACB" w:rsidRPr="003249D9" w:rsidRDefault="00AB7CFF" w:rsidP="009A73FD">
      <w:pPr>
        <w:pStyle w:val="TASBullet1"/>
        <w:numPr>
          <w:ilvl w:val="0"/>
          <w:numId w:val="26"/>
        </w:numPr>
        <w:rPr>
          <w:rFonts w:asciiTheme="minorHAnsi" w:hAnsiTheme="minorHAnsi"/>
        </w:rPr>
      </w:pPr>
      <w:r w:rsidRPr="003249D9">
        <w:rPr>
          <w:rFonts w:asciiTheme="minorHAnsi" w:hAnsiTheme="minorHAnsi"/>
        </w:rPr>
        <w:t>A bankok által, visszavett eszközökként szerzett ingatlanok ingatlanadó</w:t>
      </w:r>
      <w:r w:rsidR="00392068">
        <w:rPr>
          <w:rFonts w:asciiTheme="minorHAnsi" w:hAnsiTheme="minorHAnsi"/>
        </w:rPr>
        <w:t xml:space="preserve">- (építmény illetve telekadó) </w:t>
      </w:r>
      <w:r w:rsidRPr="003249D9">
        <w:rPr>
          <w:rFonts w:asciiTheme="minorHAnsi" w:hAnsiTheme="minorHAnsi"/>
        </w:rPr>
        <w:t>kötelesek maradnak akkor is, ha az ingatlant nem hasznosítják vagy az valójában csak egy nem pénztermelő egység.</w:t>
      </w:r>
    </w:p>
    <w:p w:rsidR="00BF6ACB" w:rsidRPr="003249D9" w:rsidRDefault="00AB7CFF" w:rsidP="009A73FD">
      <w:pPr>
        <w:pStyle w:val="TASBullet1"/>
        <w:numPr>
          <w:ilvl w:val="0"/>
          <w:numId w:val="26"/>
        </w:numPr>
        <w:rPr>
          <w:rFonts w:asciiTheme="minorHAnsi" w:hAnsiTheme="minorHAnsi"/>
        </w:rPr>
      </w:pPr>
      <w:r w:rsidRPr="003249D9">
        <w:rPr>
          <w:rFonts w:asciiTheme="minorHAnsi" w:hAnsiTheme="minorHAnsi"/>
        </w:rPr>
        <w:t xml:space="preserve">Az adósság átalakítása tőkévé társaságiadó-kötelezettséget von magával, </w:t>
      </w:r>
      <w:r w:rsidR="00392068">
        <w:rPr>
          <w:rFonts w:asciiTheme="minorHAnsi" w:hAnsiTheme="minorHAnsi"/>
        </w:rPr>
        <w:t xml:space="preserve">a keletkező adóköteles bevétel </w:t>
      </w:r>
      <w:r w:rsidRPr="003249D9">
        <w:rPr>
          <w:rFonts w:asciiTheme="minorHAnsi" w:hAnsiTheme="minorHAnsi"/>
        </w:rPr>
        <w:t>nem ellentételezhető teljes mértékben a</w:t>
      </w:r>
      <w:r w:rsidR="00392068">
        <w:rPr>
          <w:rFonts w:asciiTheme="minorHAnsi" w:hAnsiTheme="minorHAnsi"/>
        </w:rPr>
        <w:t>z előző évekről áthozott adóveszteségekkel</w:t>
      </w:r>
      <w:r w:rsidRPr="003249D9">
        <w:rPr>
          <w:rFonts w:asciiTheme="minorHAnsi" w:hAnsiTheme="minorHAnsi"/>
        </w:rPr>
        <w:t>, illetve a társaság átvétele esetén konszolidációs követelmény keletkezne.</w:t>
      </w:r>
    </w:p>
    <w:p w:rsidR="00BF6ACB" w:rsidRPr="003249D9" w:rsidRDefault="00AB7CFF" w:rsidP="00BF6ACB">
      <w:pPr>
        <w:pStyle w:val="TASTextheading1"/>
        <w:rPr>
          <w:rFonts w:asciiTheme="minorHAnsi" w:hAnsiTheme="minorHAnsi"/>
        </w:rPr>
      </w:pPr>
      <w:r w:rsidRPr="003249D9">
        <w:rPr>
          <w:rFonts w:asciiTheme="minorHAnsi" w:hAnsiTheme="minorHAnsi"/>
        </w:rPr>
        <w:lastRenderedPageBreak/>
        <w:t>Egyéb</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Az egyik legsúlyosabb problémát az adósok szemlélete jelenti, vagyis a hitelek visszafizetési hajlandóságának jelentős visszaesése.</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Az egyik bank a pénzügyi csalások kivizsgálásában érintett rendőrök, államügyészek és bírák speciális oktatását javasolta, ami jelenleg teljes mértékben hiányzik. Egyes érdekelt felek továbbá specializált bíróságok felállítását javasolták, amelyek a felszámolási- és csődeljárási ügyekben járnának el.</w:t>
      </w:r>
    </w:p>
    <w:p w:rsidR="00BF6ACB" w:rsidRPr="003249D9" w:rsidRDefault="00AB7CFF" w:rsidP="009A73FD">
      <w:pPr>
        <w:pStyle w:val="TASBullet1"/>
        <w:numPr>
          <w:ilvl w:val="0"/>
          <w:numId w:val="22"/>
        </w:numPr>
        <w:rPr>
          <w:rFonts w:asciiTheme="minorHAnsi" w:hAnsiTheme="minorHAnsi"/>
        </w:rPr>
      </w:pPr>
      <w:r w:rsidRPr="003249D9">
        <w:rPr>
          <w:rFonts w:asciiTheme="minorHAnsi" w:hAnsiTheme="minorHAnsi"/>
        </w:rPr>
        <w:t>A Bankszövetség és más szakmai szervezetek nagyobb mértékben vegyen részt a jogalkotási folyamatokban.</w:t>
      </w: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sectPr w:rsidR="00BF6ACB" w:rsidRPr="003249D9">
          <w:headerReference w:type="default" r:id="rId57"/>
          <w:footerReference w:type="default" r:id="rId58"/>
          <w:pgSz w:w="11907" w:h="16839" w:code="9"/>
          <w:pgMar w:top="2304" w:right="792" w:bottom="1022" w:left="792" w:header="605" w:footer="706" w:gutter="0"/>
          <w:cols w:space="720"/>
          <w:docGrid w:linePitch="360"/>
        </w:sectPr>
      </w:pPr>
    </w:p>
    <w:p w:rsidR="00BF6ACB" w:rsidRPr="003249D9" w:rsidRDefault="00AB7CFF" w:rsidP="00BF6ACB">
      <w:pPr>
        <w:pStyle w:val="TASSubsection"/>
        <w:framePr w:wrap="around"/>
        <w:rPr>
          <w:rFonts w:asciiTheme="minorHAnsi" w:hAnsiTheme="minorHAnsi"/>
        </w:rPr>
      </w:pPr>
      <w:bookmarkStart w:id="14" w:name="_Toc398885780"/>
      <w:bookmarkStart w:id="15" w:name="_Toc401154920"/>
      <w:bookmarkStart w:id="16" w:name="_Toc403750023"/>
      <w:r w:rsidRPr="003249D9">
        <w:rPr>
          <w:rFonts w:asciiTheme="minorHAnsi" w:hAnsiTheme="minorHAnsi"/>
        </w:rPr>
        <w:lastRenderedPageBreak/>
        <w:t xml:space="preserve">Az </w:t>
      </w:r>
      <w:proofErr w:type="spellStart"/>
      <w:r w:rsidRPr="003249D9">
        <w:rPr>
          <w:rFonts w:asciiTheme="minorHAnsi" w:hAnsiTheme="minorHAnsi"/>
        </w:rPr>
        <w:t>NPL-ek</w:t>
      </w:r>
      <w:proofErr w:type="spellEnd"/>
      <w:r w:rsidRPr="003249D9">
        <w:rPr>
          <w:rFonts w:asciiTheme="minorHAnsi" w:hAnsiTheme="minorHAnsi"/>
        </w:rPr>
        <w:t xml:space="preserve"> átruházásának kérdésköre</w:t>
      </w:r>
      <w:bookmarkEnd w:id="14"/>
      <w:bookmarkEnd w:id="15"/>
      <w:bookmarkEnd w:id="16"/>
    </w:p>
    <w:p w:rsidR="005F2808" w:rsidRPr="003249D9" w:rsidRDefault="005F2808" w:rsidP="005F2808">
      <w:pPr>
        <w:pStyle w:val="TASStraplinefirst"/>
        <w:framePr w:wrap="notBeside"/>
        <w:rPr>
          <w:rFonts w:asciiTheme="minorHAnsi" w:hAnsiTheme="minorHAnsi"/>
        </w:rPr>
      </w:pPr>
      <w:r w:rsidRPr="003249D9">
        <w:rPr>
          <w:rFonts w:asciiTheme="minorHAnsi" w:hAnsiTheme="minorHAnsi"/>
        </w:rPr>
        <w:t>A likvid másodlagos piac hiánya</w:t>
      </w:r>
    </w:p>
    <w:p w:rsidR="005F2808" w:rsidRPr="003249D9" w:rsidRDefault="005F2808" w:rsidP="005F2808">
      <w:pPr>
        <w:pStyle w:val="TASTextheading1"/>
        <w:rPr>
          <w:rFonts w:asciiTheme="minorHAnsi" w:hAnsiTheme="minorHAnsi"/>
        </w:rPr>
      </w:pPr>
      <w:r w:rsidRPr="003249D9">
        <w:rPr>
          <w:rFonts w:asciiTheme="minorHAnsi" w:hAnsiTheme="minorHAnsi"/>
        </w:rPr>
        <w:t>A másodlagos piac jellemzői</w:t>
      </w:r>
      <w:r>
        <w:rPr>
          <w:rFonts w:asciiTheme="minorHAnsi" w:hAnsiTheme="minorHAnsi"/>
          <w:noProof/>
          <w:lang w:bidi="ar-SA"/>
        </w:rPr>
        <mc:AlternateContent>
          <mc:Choice Requires="wps">
            <w:drawing>
              <wp:anchor distT="0" distB="0" distL="114300" distR="114300" simplePos="0" relativeHeight="251801600" behindDoc="0" locked="0" layoutInCell="1" allowOverlap="1" wp14:anchorId="58221CA6" wp14:editId="2FB1E073">
                <wp:simplePos x="0" y="0"/>
                <wp:positionH relativeFrom="page">
                  <wp:posOffset>502920</wp:posOffset>
                </wp:positionH>
                <wp:positionV relativeFrom="margin">
                  <wp:posOffset>0</wp:posOffset>
                </wp:positionV>
                <wp:extent cx="3167824" cy="914400"/>
                <wp:effectExtent l="0" t="0" r="0" b="0"/>
                <wp:wrapSquare wrapText="bothSides"/>
                <wp:docPr id="512" name="Text Box 512"/>
                <wp:cNvGraphicFramePr/>
                <a:graphic xmlns:a="http://schemas.openxmlformats.org/drawingml/2006/main">
                  <a:graphicData uri="http://schemas.microsoft.com/office/word/2010/wordprocessingShape">
                    <wps:wsp>
                      <wps:cNvSpPr txBox="1"/>
                      <wps:spPr>
                        <a:xfrm>
                          <a:off x="0" y="0"/>
                          <a:ext cx="3167824" cy="9144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2D610B" w:rsidRDefault="002D610B" w:rsidP="005F2808">
                            <w:pPr>
                              <w:pStyle w:val="TASTabletitleborder"/>
                              <w:spacing w:before="20" w:after="20"/>
                            </w:pPr>
                            <w:proofErr w:type="spellStart"/>
                            <w:r>
                              <w:t>NPL-ek</w:t>
                            </w:r>
                            <w:proofErr w:type="spellEnd"/>
                            <w:r>
                              <w:t xml:space="preserve"> aránya</w:t>
                            </w:r>
                          </w:p>
                          <w:p w:rsidR="002D610B" w:rsidRDefault="002D610B" w:rsidP="005F2808">
                            <w:pPr>
                              <w:pStyle w:val="TASTablesource"/>
                            </w:pPr>
                            <w:proofErr w:type="spellStart"/>
                            <w:r>
                              <w:t>Source</w:t>
                            </w:r>
                            <w:proofErr w:type="spellEnd"/>
                            <w:r>
                              <w:t>: Az MNB stabilitási jelentése</w:t>
                            </w:r>
                          </w:p>
                          <w:p w:rsidR="002D610B" w:rsidRPr="00065B5E" w:rsidRDefault="002D610B" w:rsidP="005F2808">
                            <w:pPr>
                              <w:pStyle w:val="TASTabletext"/>
                            </w:pPr>
                            <w:r w:rsidRPr="00065B5E">
                              <w:rPr>
                                <w:noProof/>
                                <w:lang w:bidi="ar-SA"/>
                              </w:rPr>
                              <w:drawing>
                                <wp:inline distT="0" distB="0" distL="0" distR="0" wp14:anchorId="272696E9" wp14:editId="0E783E4A">
                                  <wp:extent cx="3180144" cy="2602937"/>
                                  <wp:effectExtent l="0" t="0" r="1270" b="698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80144" cy="2602937"/>
                                          </a:xfrm>
                                          <a:prstGeom prst="rect">
                                            <a:avLst/>
                                          </a:prstGeom>
                                          <a:noFill/>
                                          <a:ln>
                                            <a:noFill/>
                                          </a:ln>
                                        </pic:spPr>
                                      </pic:pic>
                                    </a:graphicData>
                                  </a:graphic>
                                </wp:inline>
                              </w:drawing>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12" o:spid="_x0000_s1052" type="#_x0000_t202" style="position:absolute;margin-left:39.6pt;margin-top:0;width:249.45pt;height:1in;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" filled="f" stroked="f" strokeweight=".5pt">
                <v:textbox style="mso-fit-shape-to-text:t" inset="0">
                  <w:txbxContent>
                    <w:p w:rsidR="002D610B" w:rsidRDefault="002D610B" w:rsidP="005F2808">
                      <w:pPr>
                        <w:pStyle w:val="TASTabletitleborder"/>
                        <w:spacing w:before="20" w:after="20"/>
                      </w:pPr>
                      <w:proofErr w:type="spellStart"/>
                      <w:r>
                        <w:t>NPL-ek</w:t>
                      </w:r>
                      <w:proofErr w:type="spellEnd"/>
                      <w:r>
                        <w:t xml:space="preserve"> aránya</w:t>
                      </w:r>
                    </w:p>
                    <w:p w:rsidR="002D610B" w:rsidRDefault="002D610B" w:rsidP="005F2808">
                      <w:pPr>
                        <w:pStyle w:val="TASTablesource"/>
                      </w:pPr>
                      <w:proofErr w:type="spellStart"/>
                      <w:r>
                        <w:t>Source</w:t>
                      </w:r>
                      <w:proofErr w:type="spellEnd"/>
                      <w:r>
                        <w:t>: Az MNB stabilitási jelentése</w:t>
                      </w:r>
                    </w:p>
                    <w:p w:rsidR="002D610B" w:rsidRPr="00065B5E" w:rsidRDefault="002D610B" w:rsidP="005F2808">
                      <w:pPr>
                        <w:pStyle w:val="TASTabletext"/>
                      </w:pPr>
                      <w:r w:rsidRPr="00065B5E">
                        <w:rPr>
                          <w:noProof/>
                          <w:lang w:bidi="ar-SA"/>
                        </w:rPr>
                        <w:drawing>
                          <wp:inline distT="0" distB="0" distL="0" distR="0" wp14:anchorId="272696E9" wp14:editId="0E783E4A">
                            <wp:extent cx="3180144" cy="2602937"/>
                            <wp:effectExtent l="0" t="0" r="1270" b="698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80144" cy="2602937"/>
                                    </a:xfrm>
                                    <a:prstGeom prst="rect">
                                      <a:avLst/>
                                    </a:prstGeom>
                                    <a:noFill/>
                                    <a:ln>
                                      <a:noFill/>
                                    </a:ln>
                                  </pic:spPr>
                                </pic:pic>
                              </a:graphicData>
                            </a:graphic>
                          </wp:inline>
                        </w:drawing>
                      </w:r>
                    </w:p>
                  </w:txbxContent>
                </v:textbox>
                <w10:wrap type="square" anchorx="page" anchory="margin"/>
              </v:shape>
            </w:pict>
          </mc:Fallback>
        </mc:AlternateContent>
      </w:r>
    </w:p>
    <w:p w:rsidR="005F2808" w:rsidRPr="003249D9" w:rsidRDefault="005F2808" w:rsidP="005F2808">
      <w:pPr>
        <w:pStyle w:val="TASBullet1"/>
        <w:tabs>
          <w:tab w:val="left" w:pos="180"/>
        </w:tabs>
        <w:ind w:left="180" w:firstLine="0"/>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797504" behindDoc="0" locked="0" layoutInCell="1" allowOverlap="1" wp14:anchorId="55FC74F1" wp14:editId="511F213C">
                <wp:simplePos x="0" y="0"/>
                <wp:positionH relativeFrom="column">
                  <wp:posOffset>0</wp:posOffset>
                </wp:positionH>
                <wp:positionV relativeFrom="paragraph">
                  <wp:posOffset>0</wp:posOffset>
                </wp:positionV>
                <wp:extent cx="635000" cy="635000"/>
                <wp:effectExtent l="0" t="0" r="0" b="0"/>
                <wp:wrapNone/>
                <wp:docPr id="513" name="8d9d871c24034081b2c1c930f656054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rsidR="002D610B" w:rsidRDefault="002D610B" w:rsidP="005F28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8d9d871c24034081b2c1c930f6560543" o:spid="_x0000_s1053" style="position:absolute;left:0;text-align:left;margin-left:0;margin-top:0;width:50pt;height:50pt;z-index:251797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">
                <o:lock v:ext="edit" selection="t"/>
                <v:textbox>
                  <w:txbxContent>
                    <w:p w:rsidR="002D610B" w:rsidRDefault="002D610B" w:rsidP="005F2808">
                      <w:pPr>
                        <w:jc w:val="center"/>
                      </w:pPr>
                    </w:p>
                  </w:txbxContent>
                </v:textbox>
              </v:rect>
            </w:pict>
          </mc:Fallback>
        </mc:AlternateContent>
      </w:r>
      <w:r w:rsidRPr="003249D9">
        <w:rPr>
          <w:rFonts w:asciiTheme="minorHAnsi" w:hAnsiTheme="minorHAnsi"/>
        </w:rPr>
        <w:t xml:space="preserve">A bankok egy csoportja az </w:t>
      </w:r>
      <w:proofErr w:type="spellStart"/>
      <w:r w:rsidRPr="003249D9">
        <w:rPr>
          <w:rFonts w:asciiTheme="minorHAnsi" w:hAnsiTheme="minorHAnsi"/>
        </w:rPr>
        <w:t>NPL-ek</w:t>
      </w:r>
      <w:proofErr w:type="spellEnd"/>
      <w:r w:rsidRPr="003249D9">
        <w:rPr>
          <w:rFonts w:asciiTheme="minorHAnsi" w:hAnsiTheme="minorHAnsi"/>
        </w:rPr>
        <w:t xml:space="preserve"> házon belüli kezelése helyett azoknak a másodlagos piacon történő értékesítését részesítené előnyben, ami jelentős erőforrás-lekötést eredményezhet tőke, likviditás és emberi erőforrás tekintetében. </w:t>
      </w:r>
    </w:p>
    <w:p w:rsidR="005F2808" w:rsidRPr="003249D9" w:rsidRDefault="005F2808" w:rsidP="005F2808">
      <w:pPr>
        <w:pStyle w:val="TASBullet1"/>
        <w:tabs>
          <w:tab w:val="left" w:pos="180"/>
        </w:tabs>
        <w:ind w:left="180" w:firstLine="0"/>
        <w:rPr>
          <w:rFonts w:asciiTheme="minorHAnsi" w:hAnsiTheme="minorHAnsi"/>
        </w:rPr>
      </w:pPr>
      <w:r w:rsidRPr="003249D9">
        <w:rPr>
          <w:rFonts w:asciiTheme="minorHAnsi" w:hAnsiTheme="minorHAnsi"/>
        </w:rPr>
        <w:t xml:space="preserve">Miután az </w:t>
      </w:r>
      <w:proofErr w:type="spellStart"/>
      <w:r w:rsidRPr="003249D9">
        <w:rPr>
          <w:rFonts w:asciiTheme="minorHAnsi" w:hAnsiTheme="minorHAnsi"/>
        </w:rPr>
        <w:t>NPL-ek</w:t>
      </w:r>
      <w:proofErr w:type="spellEnd"/>
      <w:r w:rsidRPr="003249D9">
        <w:rPr>
          <w:rFonts w:asciiTheme="minorHAnsi" w:hAnsiTheme="minorHAnsi"/>
        </w:rPr>
        <w:t xml:space="preserve"> másodlagos piaca nem likvid és nem átlátható, ezt az opciót nem alkalmazzák széles </w:t>
      </w:r>
      <w:proofErr w:type="gramStart"/>
      <w:r w:rsidRPr="003249D9">
        <w:rPr>
          <w:rFonts w:asciiTheme="minorHAnsi" w:hAnsiTheme="minorHAnsi"/>
        </w:rPr>
        <w:t>körben</w:t>
      </w:r>
      <w:proofErr w:type="gramEnd"/>
      <w:r w:rsidRPr="003249D9">
        <w:rPr>
          <w:rFonts w:asciiTheme="minorHAnsi" w:hAnsiTheme="minorHAnsi"/>
        </w:rPr>
        <w:t xml:space="preserve"> a gyakorlatban. Ezek a bankok az átlátható és likvid másodlagos piac létrehozását szorgalmazzák, amelyet részben az </w:t>
      </w:r>
      <w:proofErr w:type="spellStart"/>
      <w:r w:rsidRPr="003249D9">
        <w:rPr>
          <w:rFonts w:asciiTheme="minorHAnsi" w:hAnsiTheme="minorHAnsi"/>
        </w:rPr>
        <w:t>NPL-eket</w:t>
      </w:r>
      <w:proofErr w:type="spellEnd"/>
      <w:r w:rsidRPr="003249D9">
        <w:rPr>
          <w:rFonts w:asciiTheme="minorHAnsi" w:hAnsiTheme="minorHAnsi"/>
        </w:rPr>
        <w:t xml:space="preserve"> felvásárló társaságokkal szembeni engedélyeztetési követelmények egyszerűsítésével vagy megszüntetésével lehetne elősegíteni. </w:t>
      </w:r>
    </w:p>
    <w:p w:rsidR="005F2808" w:rsidRPr="003249D9" w:rsidRDefault="005F2808" w:rsidP="005F2808">
      <w:pPr>
        <w:pStyle w:val="TASBullet1"/>
        <w:tabs>
          <w:tab w:val="left" w:pos="180"/>
        </w:tabs>
        <w:ind w:left="180" w:firstLine="0"/>
        <w:rPr>
          <w:rFonts w:asciiTheme="minorHAnsi" w:hAnsiTheme="minorHAnsi"/>
        </w:rPr>
      </w:pPr>
      <w:r w:rsidRPr="003249D9">
        <w:rPr>
          <w:rFonts w:asciiTheme="minorHAnsi" w:hAnsiTheme="minorHAnsi"/>
        </w:rPr>
        <w:t xml:space="preserve">A bankok közül egy jelezte, hogy az engedélyeztetési eljárás eltántorítja a nemzetközi befektetőket. Egy másik bank arról tett említést, hogy a bizonytalan jogi környezet miatt Magyarország nem vonzó a potenciális nemzetközi vevők szemében. </w:t>
      </w:r>
    </w:p>
    <w:p w:rsidR="005F2808" w:rsidRPr="003249D9" w:rsidRDefault="005F2808" w:rsidP="005F2808">
      <w:pPr>
        <w:pStyle w:val="TASBullet1"/>
        <w:tabs>
          <w:tab w:val="left" w:pos="180"/>
        </w:tabs>
        <w:ind w:left="180" w:firstLine="0"/>
        <w:rPr>
          <w:rFonts w:asciiTheme="minorHAnsi" w:hAnsiTheme="minorHAnsi"/>
        </w:rPr>
      </w:pPr>
      <w:r w:rsidRPr="003249D9">
        <w:rPr>
          <w:rFonts w:asciiTheme="minorHAnsi" w:hAnsiTheme="minorHAnsi"/>
        </w:rPr>
        <w:t>Ezen állítások megerősítése érdekében egy potenciális befektetőt is meginterjúztattunk a magyar NPL tranzakciók akadályairól. A befektető által említetteket alább soroljuk fel.</w:t>
      </w:r>
    </w:p>
    <w:p w:rsidR="005F2808" w:rsidRPr="003249D9" w:rsidRDefault="005F2808" w:rsidP="005F2808">
      <w:pPr>
        <w:pStyle w:val="TASTextheading2"/>
        <w:rPr>
          <w:rFonts w:asciiTheme="minorHAnsi" w:hAnsiTheme="minorHAnsi"/>
        </w:rPr>
      </w:pPr>
      <w:r w:rsidRPr="003249D9">
        <w:rPr>
          <w:rFonts w:asciiTheme="minorHAnsi" w:hAnsiTheme="minorHAnsi"/>
        </w:rPr>
        <w:t>Egy potenciális külföldi befektető által említett akadályok</w:t>
      </w:r>
    </w:p>
    <w:p w:rsidR="005F2808" w:rsidRDefault="005F2808" w:rsidP="005F2808">
      <w:pPr>
        <w:pStyle w:val="TASBullet1"/>
        <w:numPr>
          <w:ilvl w:val="0"/>
          <w:numId w:val="26"/>
        </w:numPr>
        <w:tabs>
          <w:tab w:val="left" w:pos="270"/>
        </w:tabs>
        <w:ind w:left="270" w:hanging="270"/>
        <w:rPr>
          <w:rFonts w:asciiTheme="minorHAnsi" w:hAnsiTheme="minorHAnsi"/>
        </w:rPr>
      </w:pPr>
      <w:r w:rsidRPr="003249D9">
        <w:rPr>
          <w:rFonts w:asciiTheme="minorHAnsi" w:hAnsiTheme="minorHAnsi"/>
        </w:rPr>
        <w:t xml:space="preserve">A magyar piac túl kicsi, ezért a befektetők által jellemzően feltett kérdés az, hogy az méretezhető-e (pl. bonyolítható-e 1-nél több tranzakció és hosszabb távon ott tud-e maradni, amelyeket meg kell értenie mielőtt pénzt és időt fektetne be). Egy 10 millió eurós tőkeügylet túl kicsi lenne egy nagy nemzetközi szereplőnek. Egy </w:t>
      </w:r>
      <w:proofErr w:type="spellStart"/>
      <w:r w:rsidRPr="003249D9">
        <w:rPr>
          <w:rFonts w:asciiTheme="minorHAnsi" w:hAnsiTheme="minorHAnsi"/>
        </w:rPr>
        <w:t>NPL-portfolió</w:t>
      </w:r>
      <w:proofErr w:type="spellEnd"/>
      <w:r w:rsidRPr="003249D9">
        <w:rPr>
          <w:rFonts w:asciiTheme="minorHAnsi" w:hAnsiTheme="minorHAnsi"/>
        </w:rPr>
        <w:t xml:space="preserve"> vételárának legalább 45-50 millió eurónak kell lennie ahhoz, hogy nemzetközi befektetők Magyarországon fektessenek be (ezt 2 fedezeti alappal folytatott interjú is megerősítette).</w:t>
      </w:r>
    </w:p>
    <w:p w:rsidR="005F2808" w:rsidRDefault="005F2808" w:rsidP="005F2808">
      <w:pPr>
        <w:pStyle w:val="TASBullet1"/>
        <w:numPr>
          <w:ilvl w:val="0"/>
          <w:numId w:val="0"/>
        </w:numPr>
        <w:tabs>
          <w:tab w:val="left" w:pos="270"/>
        </w:tabs>
        <w:ind w:left="288" w:hanging="288"/>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802624" behindDoc="0" locked="0" layoutInCell="1" allowOverlap="1" wp14:anchorId="324AD2EA" wp14:editId="7B8A25DC">
                <wp:simplePos x="0" y="0"/>
                <wp:positionH relativeFrom="page">
                  <wp:posOffset>503555</wp:posOffset>
                </wp:positionH>
                <wp:positionV relativeFrom="margin">
                  <wp:posOffset>4655185</wp:posOffset>
                </wp:positionV>
                <wp:extent cx="6555105" cy="914400"/>
                <wp:effectExtent l="0" t="0" r="0" b="0"/>
                <wp:wrapSquare wrapText="bothSides"/>
                <wp:docPr id="514" name="Text Box 514"/>
                <wp:cNvGraphicFramePr/>
                <a:graphic xmlns:a="http://schemas.openxmlformats.org/drawingml/2006/main">
                  <a:graphicData uri="http://schemas.microsoft.com/office/word/2010/wordprocessingShape">
                    <wps:wsp>
                      <wps:cNvSpPr txBox="1"/>
                      <wps:spPr>
                        <a:xfrm>
                          <a:off x="0" y="0"/>
                          <a:ext cx="6555105" cy="9144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2D610B" w:rsidRDefault="002D610B" w:rsidP="005F2808">
                            <w:pPr>
                              <w:pStyle w:val="TASTabletitleborder"/>
                              <w:spacing w:before="20" w:after="20"/>
                            </w:pPr>
                            <w:r>
                              <w:t xml:space="preserve">A portfolió minősége a vállalati szektorban </w:t>
                            </w:r>
                          </w:p>
                          <w:p w:rsidR="002D610B" w:rsidRDefault="002D610B" w:rsidP="005F2808">
                            <w:pPr>
                              <w:pStyle w:val="TASTablesource"/>
                            </w:pPr>
                            <w:proofErr w:type="spellStart"/>
                            <w:r>
                              <w:t>Source</w:t>
                            </w:r>
                            <w:proofErr w:type="spellEnd"/>
                            <w:r>
                              <w:t>: Az MNB stabilitási jelentése</w:t>
                            </w:r>
                          </w:p>
                          <w:p w:rsidR="002D610B" w:rsidRPr="00065B5E" w:rsidRDefault="002D610B" w:rsidP="005F2808">
                            <w:pPr>
                              <w:pStyle w:val="TASTabletext"/>
                            </w:pPr>
                            <w:r w:rsidRPr="00065B5E">
                              <w:rPr>
                                <w:noProof/>
                                <w:lang w:bidi="ar-SA"/>
                              </w:rPr>
                              <w:drawing>
                                <wp:inline distT="0" distB="0" distL="0" distR="0" wp14:anchorId="432A7BC6" wp14:editId="4FDB3FEF">
                                  <wp:extent cx="6553718" cy="3063211"/>
                                  <wp:effectExtent l="0" t="0" r="0" b="444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53718" cy="3063211"/>
                                          </a:xfrm>
                                          <a:prstGeom prst="rect">
                                            <a:avLst/>
                                          </a:prstGeom>
                                          <a:noFill/>
                                          <a:ln>
                                            <a:noFill/>
                                          </a:ln>
                                        </pic:spPr>
                                      </pic:pic>
                                    </a:graphicData>
                                  </a:graphic>
                                </wp:inline>
                              </w:drawing>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514" o:spid="_x0000_s1054" type="#_x0000_t202" style="position:absolute;left:0;text-align:left;margin-left:39.65pt;margin-top:366.55pt;width:516.15pt;height:1in;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" filled="f" stroked="f" strokeweight=".5pt">
                <v:textbox style="mso-fit-shape-to-text:t" inset="0">
                  <w:txbxContent>
                    <w:p w:rsidR="002D610B" w:rsidRDefault="002D610B" w:rsidP="005F2808">
                      <w:pPr>
                        <w:pStyle w:val="TASTabletitleborder"/>
                        <w:spacing w:before="20" w:after="20"/>
                      </w:pPr>
                      <w:r>
                        <w:t xml:space="preserve">A portfolió minősége a vállalati szektorban </w:t>
                      </w:r>
                    </w:p>
                    <w:p w:rsidR="002D610B" w:rsidRDefault="002D610B" w:rsidP="005F2808">
                      <w:pPr>
                        <w:pStyle w:val="TASTablesource"/>
                      </w:pPr>
                      <w:proofErr w:type="spellStart"/>
                      <w:r>
                        <w:t>Source</w:t>
                      </w:r>
                      <w:proofErr w:type="spellEnd"/>
                      <w:r>
                        <w:t>: Az MNB stabilitási jelentése</w:t>
                      </w:r>
                    </w:p>
                    <w:p w:rsidR="002D610B" w:rsidRPr="00065B5E" w:rsidRDefault="002D610B" w:rsidP="005F2808">
                      <w:pPr>
                        <w:pStyle w:val="TASTabletext"/>
                      </w:pPr>
                      <w:r w:rsidRPr="00065B5E">
                        <w:rPr>
                          <w:noProof/>
                          <w:lang w:bidi="ar-SA"/>
                        </w:rPr>
                        <w:drawing>
                          <wp:inline distT="0" distB="0" distL="0" distR="0" wp14:anchorId="432A7BC6" wp14:editId="4FDB3FEF">
                            <wp:extent cx="6553718" cy="3063211"/>
                            <wp:effectExtent l="0" t="0" r="0" b="4445"/>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53718" cy="3063211"/>
                                    </a:xfrm>
                                    <a:prstGeom prst="rect">
                                      <a:avLst/>
                                    </a:prstGeom>
                                    <a:noFill/>
                                    <a:ln>
                                      <a:noFill/>
                                    </a:ln>
                                  </pic:spPr>
                                </pic:pic>
                              </a:graphicData>
                            </a:graphic>
                          </wp:inline>
                        </w:drawing>
                      </w:r>
                    </w:p>
                  </w:txbxContent>
                </v:textbox>
                <w10:wrap type="square" anchorx="page" anchory="margin"/>
              </v:shape>
            </w:pict>
          </mc:Fallback>
        </mc:AlternateContent>
      </w:r>
    </w:p>
    <w:p w:rsidR="005F2808" w:rsidRPr="003249D9" w:rsidRDefault="005F2808" w:rsidP="005F2808">
      <w:pPr>
        <w:pStyle w:val="TASBullet1"/>
        <w:numPr>
          <w:ilvl w:val="0"/>
          <w:numId w:val="0"/>
        </w:numPr>
        <w:tabs>
          <w:tab w:val="left" w:pos="270"/>
        </w:tabs>
        <w:ind w:left="288" w:hanging="288"/>
        <w:rPr>
          <w:rFonts w:asciiTheme="minorHAnsi" w:hAnsiTheme="minorHAnsi"/>
        </w:rPr>
      </w:pPr>
    </w:p>
    <w:p w:rsidR="005F2808" w:rsidRPr="003249D9" w:rsidRDefault="005F2808" w:rsidP="005F2808">
      <w:pPr>
        <w:pStyle w:val="TASBullet1"/>
        <w:numPr>
          <w:ilvl w:val="0"/>
          <w:numId w:val="26"/>
        </w:numPr>
        <w:tabs>
          <w:tab w:val="left" w:pos="270"/>
        </w:tabs>
        <w:ind w:left="270" w:hanging="270"/>
        <w:rPr>
          <w:rFonts w:asciiTheme="minorHAnsi" w:hAnsiTheme="minorHAnsi"/>
        </w:rPr>
      </w:pPr>
      <w:r w:rsidRPr="003249D9">
        <w:rPr>
          <w:rFonts w:asciiTheme="minorHAnsi" w:hAnsiTheme="minorHAnsi"/>
        </w:rPr>
        <w:lastRenderedPageBreak/>
        <w:t xml:space="preserve">A szabályozói problémák (bürokrácia) azt jelentik, hogy egy befektetőnek engedélyt kell szereznie ahhoz, hogy </w:t>
      </w:r>
      <w:proofErr w:type="spellStart"/>
      <w:r w:rsidRPr="003249D9">
        <w:rPr>
          <w:rFonts w:asciiTheme="minorHAnsi" w:hAnsiTheme="minorHAnsi"/>
        </w:rPr>
        <w:t>NPL-eket</w:t>
      </w:r>
      <w:proofErr w:type="spellEnd"/>
      <w:r w:rsidRPr="003249D9">
        <w:rPr>
          <w:rFonts w:asciiTheme="minorHAnsi" w:hAnsiTheme="minorHAnsi"/>
        </w:rPr>
        <w:t xml:space="preserve"> vásárolhasson és kezelhessen. Az engedélyszerzés időigényes és nem garantált az engedély megszerzése sem.</w:t>
      </w:r>
    </w:p>
    <w:p w:rsidR="005F2808" w:rsidRPr="003249D9" w:rsidRDefault="005F2808" w:rsidP="005F2808">
      <w:pPr>
        <w:pStyle w:val="TASBullet1"/>
        <w:numPr>
          <w:ilvl w:val="0"/>
          <w:numId w:val="26"/>
        </w:numPr>
        <w:tabs>
          <w:tab w:val="left" w:pos="270"/>
        </w:tabs>
        <w:ind w:left="270" w:hanging="270"/>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798528" behindDoc="0" locked="0" layoutInCell="1" allowOverlap="1" wp14:anchorId="15C96370" wp14:editId="69F87722">
                <wp:simplePos x="0" y="0"/>
                <wp:positionH relativeFrom="column">
                  <wp:posOffset>0</wp:posOffset>
                </wp:positionH>
                <wp:positionV relativeFrom="paragraph">
                  <wp:posOffset>0</wp:posOffset>
                </wp:positionV>
                <wp:extent cx="635000" cy="635000"/>
                <wp:effectExtent l="0" t="0" r="0" b="0"/>
                <wp:wrapNone/>
                <wp:docPr id="515" name="a88155a82e2f4948889c991b16df421d"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miter lim="800000"/>
                          <a:headEnd/>
                          <a:tailEnd/>
                        </a:ln>
                      </wps:spPr>
                      <wps:txbx>
                        <w:txbxContent>
                          <w:p w:rsidR="002D610B" w:rsidRDefault="002D610B" w:rsidP="005F280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88155a82e2f4948889c991b16df421d" o:spid="_x0000_s1055" style="position:absolute;left:0;text-align:left;margin-left:0;margin-top:0;width:50pt;height:50pt;z-index:251798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">
                <o:lock v:ext="edit" selection="t"/>
                <v:textbox>
                  <w:txbxContent>
                    <w:p w:rsidR="002D610B" w:rsidRDefault="002D610B" w:rsidP="005F2808">
                      <w:pPr>
                        <w:jc w:val="center"/>
                      </w:pPr>
                    </w:p>
                  </w:txbxContent>
                </v:textbox>
              </v:rect>
            </w:pict>
          </mc:Fallback>
        </mc:AlternateContent>
      </w:r>
      <w:r w:rsidRPr="003249D9">
        <w:rPr>
          <w:rFonts w:asciiTheme="minorHAnsi" w:hAnsiTheme="minorHAnsi"/>
        </w:rPr>
        <w:t>Bizonytalanság támadt abban a kérdésben is, hogy az NPL tranzakciók ÁFA hatálya alá kerülnek-e vagy sem. A befektetők számára nem lenne kedvező egy ilyen pluszköltség. Az ÁFA hatályának kérdését elméletben sikerült tisztázni, azonban a gyakorlatban az EU-s értelmezés nem feltétlenül alkalmazható Magyarországra is.</w:t>
      </w:r>
    </w:p>
    <w:p w:rsidR="005F2808" w:rsidRPr="003249D9" w:rsidRDefault="005F2808" w:rsidP="005F2808">
      <w:pPr>
        <w:pStyle w:val="TASBullet1"/>
        <w:numPr>
          <w:ilvl w:val="0"/>
          <w:numId w:val="26"/>
        </w:numPr>
        <w:tabs>
          <w:tab w:val="left" w:pos="270"/>
        </w:tabs>
        <w:ind w:left="270" w:hanging="270"/>
        <w:rPr>
          <w:rFonts w:asciiTheme="minorHAnsi" w:hAnsiTheme="minorHAnsi"/>
        </w:rPr>
      </w:pPr>
      <w:r w:rsidRPr="003249D9">
        <w:rPr>
          <w:rFonts w:asciiTheme="minorHAnsi" w:hAnsiTheme="minorHAnsi"/>
        </w:rPr>
        <w:t>Az eladóknak elkötelezettnek kell lenniük az értékesítés mellett és a tranzakcióra előre fel kell készülniük, illetve tudniuk kell, hogy mik a teendők. A bankoknak elegendő információt kell biztosítaniuk ahhoz, hogy potenciális befektetők a portfoliót megvizsgálhassák.</w:t>
      </w:r>
    </w:p>
    <w:p w:rsidR="005F2808" w:rsidRPr="003249D9" w:rsidRDefault="005F2808" w:rsidP="005F2808">
      <w:pPr>
        <w:pStyle w:val="TASBullet1"/>
        <w:numPr>
          <w:ilvl w:val="0"/>
          <w:numId w:val="26"/>
        </w:numPr>
        <w:tabs>
          <w:tab w:val="left" w:pos="270"/>
        </w:tabs>
        <w:ind w:left="270" w:hanging="270"/>
        <w:rPr>
          <w:rFonts w:asciiTheme="minorHAnsi" w:hAnsiTheme="minorHAnsi"/>
        </w:rPr>
      </w:pPr>
      <w:r w:rsidRPr="003249D9">
        <w:rPr>
          <w:rFonts w:asciiTheme="minorHAnsi" w:hAnsiTheme="minorHAnsi"/>
        </w:rPr>
        <w:t xml:space="preserve">Az eladók és a vevők árigényei között szakadék tátong, ami nem segíti az </w:t>
      </w:r>
      <w:proofErr w:type="spellStart"/>
      <w:r w:rsidRPr="003249D9">
        <w:rPr>
          <w:rFonts w:asciiTheme="minorHAnsi" w:hAnsiTheme="minorHAnsi"/>
        </w:rPr>
        <w:t>NPL-ek</w:t>
      </w:r>
      <w:proofErr w:type="spellEnd"/>
      <w:r w:rsidRPr="003249D9">
        <w:rPr>
          <w:rFonts w:asciiTheme="minorHAnsi" w:hAnsiTheme="minorHAnsi"/>
        </w:rPr>
        <w:t xml:space="preserve"> értékesítését. Ezt általában nem kommunikálják le előzetesen, hanem a tranzakciók végére hagyják, amikor már jelentős mennyiségű, vissza nem téríthető pénzt fordítottak a tranzakcióra, ami szintén nem segíti elő az </w:t>
      </w:r>
      <w:proofErr w:type="spellStart"/>
      <w:r w:rsidRPr="003249D9">
        <w:rPr>
          <w:rFonts w:asciiTheme="minorHAnsi" w:hAnsiTheme="minorHAnsi"/>
        </w:rPr>
        <w:t>NPL-ek</w:t>
      </w:r>
      <w:proofErr w:type="spellEnd"/>
      <w:r w:rsidRPr="003249D9">
        <w:rPr>
          <w:rFonts w:asciiTheme="minorHAnsi" w:hAnsiTheme="minorHAnsi"/>
        </w:rPr>
        <w:t xml:space="preserve"> rendezését. Mind az eladó, mind pedig a vevő a hitel nettó könyv szerinti értékét veheti kiindulási alapnak az árigény megállapításához. Következésképp a bankok általi realista és megfelelő rendelkezésre állítás a felek közötti egyeztetések elősegítése szempontjából rendkívül fontos.</w:t>
      </w:r>
    </w:p>
    <w:p w:rsidR="005F2808" w:rsidRPr="003249D9" w:rsidRDefault="005F2808" w:rsidP="005F2808">
      <w:pPr>
        <w:pStyle w:val="TASBullet1"/>
        <w:numPr>
          <w:ilvl w:val="0"/>
          <w:numId w:val="26"/>
        </w:numPr>
        <w:tabs>
          <w:tab w:val="left" w:pos="270"/>
        </w:tabs>
        <w:ind w:left="270" w:hanging="270"/>
        <w:rPr>
          <w:rFonts w:asciiTheme="minorHAnsi" w:hAnsiTheme="minorHAnsi"/>
        </w:rPr>
      </w:pPr>
      <w:r w:rsidRPr="003249D9">
        <w:rPr>
          <w:rFonts w:asciiTheme="minorHAnsi" w:hAnsiTheme="minorHAnsi"/>
        </w:rPr>
        <w:t xml:space="preserve">A befektetőknek nincs elég idejük arra, hogy az adatszobához hozzáférjenek, és olykor az adatszobákat nem is kezelik megfelelően. Emellett, a befektetőknek gyakran nehezére esik megérteni, hogy mit is tartalmaz a portfolió a banktitok </w:t>
      </w:r>
      <w:proofErr w:type="gramStart"/>
      <w:r w:rsidRPr="003249D9">
        <w:rPr>
          <w:rFonts w:asciiTheme="minorHAnsi" w:hAnsiTheme="minorHAnsi"/>
        </w:rPr>
        <w:t>miatt</w:t>
      </w:r>
      <w:proofErr w:type="gramEnd"/>
      <w:r w:rsidRPr="003249D9">
        <w:rPr>
          <w:rFonts w:asciiTheme="minorHAnsi" w:hAnsiTheme="minorHAnsi"/>
        </w:rPr>
        <w:t xml:space="preserve"> vagy azért mert a bank nem hajlandó megosztani túl sok információt. </w:t>
      </w:r>
    </w:p>
    <w:p w:rsidR="005F2808" w:rsidRPr="003249D9" w:rsidRDefault="005F2808" w:rsidP="005F2808">
      <w:pPr>
        <w:pStyle w:val="TASBullet1"/>
        <w:numPr>
          <w:ilvl w:val="0"/>
          <w:numId w:val="26"/>
        </w:numPr>
        <w:tabs>
          <w:tab w:val="left" w:pos="270"/>
        </w:tabs>
        <w:ind w:left="270" w:hanging="270"/>
        <w:rPr>
          <w:rFonts w:asciiTheme="minorHAnsi" w:hAnsiTheme="minorHAnsi"/>
        </w:rPr>
      </w:pPr>
      <w:r w:rsidRPr="003249D9">
        <w:rPr>
          <w:rFonts w:asciiTheme="minorHAnsi" w:hAnsiTheme="minorHAnsi"/>
        </w:rPr>
        <w:t>A földterület vagy telek fedezetű tranzakciók/hitelek a befektetők számára nem kedvezőek, mivel velejáróan nehéz az ingatlanok értékesítése vagy pénzzé tétele.</w:t>
      </w:r>
    </w:p>
    <w:p w:rsidR="005F2808" w:rsidRPr="003249D9" w:rsidRDefault="005F2808" w:rsidP="005F2808">
      <w:pPr>
        <w:pStyle w:val="TASBullet1"/>
        <w:numPr>
          <w:ilvl w:val="0"/>
          <w:numId w:val="26"/>
        </w:numPr>
        <w:tabs>
          <w:tab w:val="left" w:pos="270"/>
        </w:tabs>
        <w:ind w:left="270" w:hanging="270"/>
        <w:rPr>
          <w:rFonts w:asciiTheme="minorHAnsi" w:hAnsiTheme="minorHAnsi"/>
        </w:rPr>
      </w:pPr>
      <w:r w:rsidRPr="003249D9">
        <w:rPr>
          <w:rFonts w:asciiTheme="minorHAnsi" w:hAnsiTheme="minorHAnsi"/>
        </w:rPr>
        <w:t xml:space="preserve">A befektetőket aggasztják a devizaváltozások, mivel a HUF </w:t>
      </w:r>
      <w:proofErr w:type="spellStart"/>
      <w:r w:rsidRPr="003249D9">
        <w:rPr>
          <w:rFonts w:asciiTheme="minorHAnsi" w:hAnsiTheme="minorHAnsi"/>
        </w:rPr>
        <w:t>volatilitása</w:t>
      </w:r>
      <w:proofErr w:type="spellEnd"/>
      <w:r w:rsidRPr="003249D9">
        <w:rPr>
          <w:rFonts w:asciiTheme="minorHAnsi" w:hAnsiTheme="minorHAnsi"/>
        </w:rPr>
        <w:t xml:space="preserve"> viszonylag magas, ezért a befektetők jelentős devizakockázatot látnak. </w:t>
      </w:r>
    </w:p>
    <w:p w:rsidR="005F2808" w:rsidRPr="003249D9" w:rsidRDefault="005F2808" w:rsidP="005F2808">
      <w:pPr>
        <w:pStyle w:val="TASBullet1"/>
        <w:numPr>
          <w:ilvl w:val="0"/>
          <w:numId w:val="26"/>
        </w:numPr>
        <w:tabs>
          <w:tab w:val="left" w:pos="270"/>
        </w:tabs>
        <w:ind w:left="270" w:hanging="270"/>
        <w:rPr>
          <w:rFonts w:asciiTheme="minorHAnsi" w:hAnsiTheme="minorHAnsi"/>
        </w:rPr>
      </w:pPr>
      <w:r w:rsidRPr="003249D9">
        <w:rPr>
          <w:rFonts w:asciiTheme="minorHAnsi" w:hAnsiTheme="minorHAnsi"/>
        </w:rPr>
        <w:t>A várható belső megtérülési ráta (IRR) 30% körüli, mivel a piac nem tekinthető túlzott versenyképesnek (ezt az egyik fedezeti alap megerősítette).</w:t>
      </w:r>
      <w:r>
        <w:rPr>
          <w:rFonts w:asciiTheme="minorHAnsi" w:hAnsiTheme="minorHAnsi"/>
        </w:rPr>
        <w:t xml:space="preserve"> </w:t>
      </w:r>
    </w:p>
    <w:p w:rsidR="005F2808" w:rsidRPr="003249D9" w:rsidRDefault="005F2808" w:rsidP="005F2808">
      <w:pPr>
        <w:pStyle w:val="TASBullet1"/>
        <w:numPr>
          <w:ilvl w:val="0"/>
          <w:numId w:val="26"/>
        </w:numPr>
        <w:tabs>
          <w:tab w:val="left" w:pos="270"/>
        </w:tabs>
        <w:ind w:left="270" w:hanging="270"/>
        <w:rPr>
          <w:rFonts w:asciiTheme="minorHAnsi" w:hAnsiTheme="minorHAnsi"/>
        </w:rPr>
      </w:pPr>
      <w:r w:rsidRPr="003249D9">
        <w:rPr>
          <w:rFonts w:asciiTheme="minorHAnsi" w:hAnsiTheme="minorHAnsi"/>
        </w:rPr>
        <w:t xml:space="preserve">Fontos lenne segíteni a bankoknak a tranzakciókra való jobb felkészülésben (adatszoba, dokumentáció) és a befektetői bizalom növelésében. </w:t>
      </w:r>
    </w:p>
    <w:p w:rsidR="005F2808" w:rsidRPr="003249D9" w:rsidRDefault="005F2808" w:rsidP="005F2808">
      <w:pPr>
        <w:pStyle w:val="TASTextheading1"/>
        <w:rPr>
          <w:rFonts w:asciiTheme="minorHAnsi" w:hAnsiTheme="minorHAnsi"/>
        </w:rPr>
      </w:pPr>
      <w:r w:rsidRPr="003249D9">
        <w:rPr>
          <w:rFonts w:asciiTheme="minorHAnsi" w:hAnsiTheme="minorHAnsi"/>
        </w:rPr>
        <w:t>Eszközkezelő társaság felállítása</w:t>
      </w:r>
    </w:p>
    <w:p w:rsidR="005F2808" w:rsidRPr="003249D9" w:rsidRDefault="005F2808" w:rsidP="005F2808">
      <w:pPr>
        <w:pStyle w:val="TASBullet1"/>
        <w:numPr>
          <w:ilvl w:val="0"/>
          <w:numId w:val="26"/>
        </w:numPr>
        <w:rPr>
          <w:rFonts w:asciiTheme="minorHAnsi" w:hAnsiTheme="minorHAnsi"/>
        </w:rPr>
      </w:pPr>
      <w:r w:rsidRPr="003249D9">
        <w:rPr>
          <w:rFonts w:asciiTheme="minorHAnsi" w:hAnsiTheme="minorHAnsi"/>
        </w:rPr>
        <w:t xml:space="preserve">A bankok </w:t>
      </w:r>
      <w:proofErr w:type="spellStart"/>
      <w:r w:rsidRPr="003249D9">
        <w:rPr>
          <w:rFonts w:asciiTheme="minorHAnsi" w:hAnsiTheme="minorHAnsi"/>
        </w:rPr>
        <w:t>NPL-ektől</w:t>
      </w:r>
      <w:proofErr w:type="spellEnd"/>
      <w:r w:rsidRPr="003249D9">
        <w:rPr>
          <w:rFonts w:asciiTheme="minorHAnsi" w:hAnsiTheme="minorHAnsi"/>
        </w:rPr>
        <w:t xml:space="preserve"> való szabadulása úgy is elősegíthető, ha eszközkezelő társaságot </w:t>
      </w:r>
      <w:r w:rsidR="002D610B">
        <w:rPr>
          <w:rFonts w:asciiTheme="minorHAnsi" w:hAnsiTheme="minorHAnsi"/>
        </w:rPr>
        <w:t xml:space="preserve">(„AMC”) </w:t>
      </w:r>
      <w:r w:rsidRPr="003249D9">
        <w:rPr>
          <w:rFonts w:asciiTheme="minorHAnsi" w:hAnsiTheme="minorHAnsi"/>
        </w:rPr>
        <w:t>állítanak fel</w:t>
      </w:r>
      <w:r w:rsidR="002D610B">
        <w:rPr>
          <w:rFonts w:asciiTheme="minorHAnsi" w:hAnsiTheme="minorHAnsi"/>
        </w:rPr>
        <w:t>. A 2014 novemberében kiadot</w:t>
      </w:r>
      <w:r w:rsidR="003477BD">
        <w:rPr>
          <w:rFonts w:asciiTheme="minorHAnsi" w:hAnsiTheme="minorHAnsi"/>
        </w:rPr>
        <w:t>t pénzügyi stabilitási jelentésben foglalt hivatalos információk szerint az AMC megalapítására nemrégiben sor is került</w:t>
      </w:r>
      <w:r w:rsidRPr="003249D9">
        <w:rPr>
          <w:rFonts w:asciiTheme="minorHAnsi" w:hAnsiTheme="minorHAnsi"/>
        </w:rPr>
        <w:t>.</w:t>
      </w:r>
      <w:r w:rsidR="003477BD">
        <w:rPr>
          <w:rFonts w:asciiTheme="minorHAnsi" w:hAnsiTheme="minorHAnsi"/>
        </w:rPr>
        <w:t xml:space="preserve"> Az AMC neve Mark Group, egyedüli tulajdonosa az MNB.</w:t>
      </w:r>
    </w:p>
    <w:p w:rsidR="005F2808" w:rsidRPr="002205FA" w:rsidRDefault="005F2808" w:rsidP="005F2808">
      <w:pPr>
        <w:pStyle w:val="TASBullet1"/>
        <w:numPr>
          <w:ilvl w:val="0"/>
          <w:numId w:val="26"/>
        </w:numPr>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803648" behindDoc="0" locked="0" layoutInCell="1" allowOverlap="1" wp14:anchorId="072B62D2" wp14:editId="267ACCBC">
                <wp:simplePos x="0" y="0"/>
                <wp:positionH relativeFrom="page">
                  <wp:posOffset>637540</wp:posOffset>
                </wp:positionH>
                <wp:positionV relativeFrom="margin">
                  <wp:posOffset>5661660</wp:posOffset>
                </wp:positionV>
                <wp:extent cx="6555105" cy="2867025"/>
                <wp:effectExtent l="0" t="0" r="0" b="0"/>
                <wp:wrapSquare wrapText="bothSides"/>
                <wp:docPr id="516" name="Text Box 516"/>
                <wp:cNvGraphicFramePr/>
                <a:graphic xmlns:a="http://schemas.openxmlformats.org/drawingml/2006/main">
                  <a:graphicData uri="http://schemas.microsoft.com/office/word/2010/wordprocessingShape">
                    <wps:wsp>
                      <wps:cNvSpPr txBox="1"/>
                      <wps:spPr>
                        <a:xfrm>
                          <a:off x="0" y="0"/>
                          <a:ext cx="6555105" cy="286702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2D610B" w:rsidRDefault="002D610B" w:rsidP="005F2808">
                            <w:pPr>
                              <w:pStyle w:val="TASTabletitleborder"/>
                              <w:spacing w:before="20" w:after="20"/>
                            </w:pPr>
                            <w:proofErr w:type="spellStart"/>
                            <w:r>
                              <w:t>Céltartalékképzés</w:t>
                            </w:r>
                            <w:proofErr w:type="spellEnd"/>
                            <w:r>
                              <w:t xml:space="preserve"> a nem pénzügyi társaságok hiteleire iparáganként</w:t>
                            </w:r>
                          </w:p>
                          <w:p w:rsidR="002D610B" w:rsidRDefault="002D610B" w:rsidP="005F2808">
                            <w:pPr>
                              <w:pStyle w:val="TASTablesource"/>
                            </w:pPr>
                            <w:proofErr w:type="spellStart"/>
                            <w:r>
                              <w:t>Source</w:t>
                            </w:r>
                            <w:proofErr w:type="spellEnd"/>
                            <w:r>
                              <w:t xml:space="preserve">: Az MNB </w:t>
                            </w:r>
                            <w:proofErr w:type="spellStart"/>
                            <w:r>
                              <w:t>stabilitáűsi</w:t>
                            </w:r>
                            <w:proofErr w:type="spellEnd"/>
                            <w:r>
                              <w:t xml:space="preserve"> jelentése</w:t>
                            </w:r>
                          </w:p>
                          <w:p w:rsidR="002D610B" w:rsidRPr="002205FA" w:rsidRDefault="002D610B" w:rsidP="005F2808">
                            <w:pPr>
                              <w:pStyle w:val="TASTabletext"/>
                            </w:pPr>
                            <w:r w:rsidRPr="002205FA">
                              <w:rPr>
                                <w:noProof/>
                                <w:lang w:bidi="ar-SA"/>
                              </w:rPr>
                              <w:drawing>
                                <wp:inline distT="0" distB="0" distL="0" distR="0" wp14:anchorId="3683005F" wp14:editId="5AB214ED">
                                  <wp:extent cx="6400800" cy="25617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1238" cy="2561964"/>
                                          </a:xfrm>
                                          <a:prstGeom prst="rect">
                                            <a:avLst/>
                                          </a:prstGeom>
                                          <a:noFill/>
                                          <a:ln>
                                            <a:noFill/>
                                          </a:ln>
                                        </pic:spPr>
                                      </pic:pic>
                                    </a:graphicData>
                                  </a:graphic>
                                </wp:inline>
                              </w:drawing>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6" o:spid="_x0000_s1056" type="#_x0000_t202" style="position:absolute;left:0;text-align:left;margin-left:50.2pt;margin-top:445.8pt;width:516.15pt;height:225.75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" filled="f" stroked="f" strokeweight=".5pt">
                <v:textbox inset="0">
                  <w:txbxContent>
                    <w:p w:rsidR="002D610B" w:rsidRDefault="002D610B" w:rsidP="005F2808">
                      <w:pPr>
                        <w:pStyle w:val="TASTabletitleborder"/>
                        <w:spacing w:before="20" w:after="20"/>
                      </w:pPr>
                      <w:proofErr w:type="spellStart"/>
                      <w:r>
                        <w:t>Céltartalékképzés</w:t>
                      </w:r>
                      <w:proofErr w:type="spellEnd"/>
                      <w:r>
                        <w:t xml:space="preserve"> a nem pénzügyi társaságok hiteleire iparáganként</w:t>
                      </w:r>
                    </w:p>
                    <w:p w:rsidR="002D610B" w:rsidRDefault="002D610B" w:rsidP="005F2808">
                      <w:pPr>
                        <w:pStyle w:val="TASTablesource"/>
                      </w:pPr>
                      <w:proofErr w:type="spellStart"/>
                      <w:r>
                        <w:t>Source</w:t>
                      </w:r>
                      <w:proofErr w:type="spellEnd"/>
                      <w:r>
                        <w:t xml:space="preserve">: Az MNB </w:t>
                      </w:r>
                      <w:proofErr w:type="spellStart"/>
                      <w:r>
                        <w:t>stabilitáűsi</w:t>
                      </w:r>
                      <w:proofErr w:type="spellEnd"/>
                      <w:r>
                        <w:t xml:space="preserve"> jelentése</w:t>
                      </w:r>
                    </w:p>
                    <w:p w:rsidR="002D610B" w:rsidRPr="002205FA" w:rsidRDefault="002D610B" w:rsidP="005F2808">
                      <w:pPr>
                        <w:pStyle w:val="TASTabletext"/>
                      </w:pPr>
                      <w:r w:rsidRPr="002205FA">
                        <w:rPr>
                          <w:noProof/>
                          <w:lang w:bidi="ar-SA"/>
                        </w:rPr>
                        <w:drawing>
                          <wp:inline distT="0" distB="0" distL="0" distR="0" wp14:anchorId="3683005F" wp14:editId="5AB214ED">
                            <wp:extent cx="6400800" cy="25617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1238" cy="2561964"/>
                                    </a:xfrm>
                                    <a:prstGeom prst="rect">
                                      <a:avLst/>
                                    </a:prstGeom>
                                    <a:noFill/>
                                    <a:ln>
                                      <a:noFill/>
                                    </a:ln>
                                  </pic:spPr>
                                </pic:pic>
                              </a:graphicData>
                            </a:graphic>
                          </wp:inline>
                        </w:drawing>
                      </w:r>
                    </w:p>
                  </w:txbxContent>
                </v:textbox>
                <w10:wrap type="square" anchorx="page" anchory="margin"/>
              </v:shape>
            </w:pict>
          </mc:Fallback>
        </mc:AlternateContent>
      </w:r>
      <w:r w:rsidRPr="003249D9">
        <w:rPr>
          <w:rFonts w:asciiTheme="minorHAnsi" w:hAnsiTheme="minorHAnsi"/>
        </w:rPr>
        <w:t xml:space="preserve">A </w:t>
      </w:r>
      <w:r w:rsidR="003477BD">
        <w:rPr>
          <w:rFonts w:asciiTheme="minorHAnsi" w:hAnsiTheme="minorHAnsi"/>
        </w:rPr>
        <w:t xml:space="preserve">legfrissebb </w:t>
      </w:r>
      <w:r w:rsidR="003477BD">
        <w:rPr>
          <w:rFonts w:asciiTheme="minorHAnsi" w:hAnsiTheme="minorHAnsi"/>
        </w:rPr>
        <w:t>pénzügyi stabilitási jelentés</w:t>
      </w:r>
      <w:r w:rsidR="003477BD">
        <w:rPr>
          <w:rFonts w:asciiTheme="minorHAnsi" w:hAnsiTheme="minorHAnsi"/>
        </w:rPr>
        <w:t xml:space="preserve"> szerint </w:t>
      </w:r>
      <w:r w:rsidRPr="003249D9">
        <w:rPr>
          <w:rFonts w:asciiTheme="minorHAnsi" w:hAnsiTheme="minorHAnsi"/>
        </w:rPr>
        <w:t>a</w:t>
      </w:r>
      <w:r w:rsidR="003477BD">
        <w:rPr>
          <w:rFonts w:asciiTheme="minorHAnsi" w:hAnsiTheme="minorHAnsi"/>
        </w:rPr>
        <w:t xml:space="preserve"> Mark Group </w:t>
      </w:r>
      <w:r w:rsidRPr="003249D9">
        <w:rPr>
          <w:rFonts w:asciiTheme="minorHAnsi" w:hAnsiTheme="minorHAnsi"/>
        </w:rPr>
        <w:t>át</w:t>
      </w:r>
      <w:r w:rsidR="003477BD">
        <w:rPr>
          <w:rFonts w:asciiTheme="minorHAnsi" w:hAnsiTheme="minorHAnsi"/>
        </w:rPr>
        <w:t xml:space="preserve"> fogja venni </w:t>
      </w:r>
      <w:r w:rsidRPr="003249D9">
        <w:rPr>
          <w:rFonts w:asciiTheme="minorHAnsi" w:hAnsiTheme="minorHAnsi"/>
        </w:rPr>
        <w:t xml:space="preserve">az ingatlanokhoz kapcsolódó projekteket finanszírozó </w:t>
      </w:r>
      <w:proofErr w:type="spellStart"/>
      <w:r w:rsidRPr="003249D9">
        <w:rPr>
          <w:rFonts w:asciiTheme="minorHAnsi" w:hAnsiTheme="minorHAnsi"/>
        </w:rPr>
        <w:t>NPL-eket</w:t>
      </w:r>
      <w:proofErr w:type="spellEnd"/>
      <w:r w:rsidRPr="003249D9">
        <w:rPr>
          <w:rFonts w:asciiTheme="minorHAnsi" w:hAnsiTheme="minorHAnsi"/>
        </w:rPr>
        <w:t xml:space="preserve"> a bankoktól, hogy így tőkét szabadítson fel a bankszektorban, és elősegítse a hitelezés növelését. Az </w:t>
      </w:r>
      <w:proofErr w:type="spellStart"/>
      <w:r w:rsidRPr="003249D9">
        <w:rPr>
          <w:rFonts w:asciiTheme="minorHAnsi" w:hAnsiTheme="minorHAnsi"/>
        </w:rPr>
        <w:t>NPL-ek</w:t>
      </w:r>
      <w:proofErr w:type="spellEnd"/>
      <w:r w:rsidRPr="003249D9">
        <w:rPr>
          <w:rFonts w:asciiTheme="minorHAnsi" w:hAnsiTheme="minorHAnsi"/>
        </w:rPr>
        <w:t xml:space="preserve"> átvételére piaci értéken kerülne sor (a nettó könyv szerinti érték alatt), ami egy egyszeri veszteséget jelentene a</w:t>
      </w:r>
      <w:r w:rsidR="00A36905">
        <w:rPr>
          <w:rFonts w:asciiTheme="minorHAnsi" w:hAnsiTheme="minorHAnsi"/>
        </w:rPr>
        <w:t xml:space="preserve"> </w:t>
      </w:r>
      <w:r w:rsidRPr="003249D9">
        <w:rPr>
          <w:rFonts w:asciiTheme="minorHAnsi" w:hAnsiTheme="minorHAnsi"/>
        </w:rPr>
        <w:lastRenderedPageBreak/>
        <w:t>bankoknak.</w:t>
      </w:r>
      <w:r w:rsidR="003477BD">
        <w:rPr>
          <w:rFonts w:asciiTheme="minorHAnsi" w:hAnsiTheme="minorHAnsi"/>
        </w:rPr>
        <w:t xml:space="preserve"> Arról még nem született döntés, hogy a piaci értéket hogyan fogják majd meghatározni.</w:t>
      </w:r>
    </w:p>
    <w:p w:rsidR="005F2808" w:rsidRPr="003249D9" w:rsidRDefault="005F2808" w:rsidP="005F2808">
      <w:pPr>
        <w:pStyle w:val="TASBullet1"/>
        <w:numPr>
          <w:ilvl w:val="0"/>
          <w:numId w:val="25"/>
        </w:numPr>
        <w:rPr>
          <w:rFonts w:asciiTheme="minorHAnsi" w:hAnsiTheme="minorHAnsi"/>
        </w:rPr>
        <w:sectPr w:rsidR="005F2808" w:rsidRPr="003249D9" w:rsidSect="00BF6ACB">
          <w:headerReference w:type="default" r:id="rId62"/>
          <w:footerReference w:type="default" r:id="rId63"/>
          <w:pgSz w:w="11907" w:h="16839" w:code="9"/>
          <w:pgMar w:top="2304" w:right="792" w:bottom="1022" w:left="792" w:header="605" w:footer="706" w:gutter="0"/>
          <w:cols w:space="720"/>
          <w:docGrid w:linePitch="360"/>
        </w:sectPr>
      </w:pPr>
    </w:p>
    <w:p w:rsidR="00BF6ACB" w:rsidRPr="003249D9" w:rsidRDefault="00AB7CFF" w:rsidP="00BF6ACB">
      <w:pPr>
        <w:pStyle w:val="TASSectiontitle"/>
        <w:framePr w:wrap="around"/>
        <w:rPr>
          <w:rFonts w:asciiTheme="minorHAnsi" w:hAnsiTheme="minorHAnsi"/>
        </w:rPr>
      </w:pPr>
      <w:bookmarkStart w:id="17" w:name="_Toc401154921"/>
      <w:bookmarkStart w:id="18" w:name="_Toc403750024"/>
      <w:r w:rsidRPr="003249D9">
        <w:rPr>
          <w:rFonts w:asciiTheme="minorHAnsi" w:hAnsiTheme="minorHAnsi"/>
        </w:rPr>
        <w:lastRenderedPageBreak/>
        <w:t>Adóelemzés</w:t>
      </w:r>
      <w:bookmarkEnd w:id="17"/>
      <w:bookmarkEnd w:id="18"/>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sdt>
      <w:sdtPr>
        <w:rPr>
          <w:rFonts w:asciiTheme="minorHAnsi" w:hAnsiTheme="minorHAnsi"/>
        </w:rPr>
        <w:alias w:val="TAS Subsection TOC"/>
        <w:tag w:val="TASSubsectionTOC"/>
        <w:id w:val="741760723"/>
      </w:sdtPr>
      <w:sdtContent>
        <w:p w:rsidR="00BF6ACB" w:rsidRPr="003249D9" w:rsidRDefault="00AB7CFF" w:rsidP="009A73FD">
          <w:pPr>
            <w:pStyle w:val="TASTOC3"/>
            <w:numPr>
              <w:ilvl w:val="0"/>
              <w:numId w:val="29"/>
            </w:numPr>
            <w:rPr>
              <w:rFonts w:asciiTheme="minorHAnsi" w:hAnsiTheme="minorHAnsi"/>
            </w:rPr>
          </w:pPr>
          <w:r w:rsidRPr="003249D9">
            <w:rPr>
              <w:rFonts w:asciiTheme="minorHAnsi" w:hAnsiTheme="minorHAnsi"/>
            </w:rPr>
            <w:t>Adózási megfontolások</w:t>
          </w:r>
        </w:p>
      </w:sdtContent>
    </w:sdt>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sectPr w:rsidR="00BF6ACB" w:rsidRPr="003249D9" w:rsidSect="00BF6ACB">
          <w:headerReference w:type="default" r:id="rId64"/>
          <w:footerReference w:type="default" r:id="rId65"/>
          <w:headerReference w:type="first" r:id="rId66"/>
          <w:footerReference w:type="first" r:id="rId67"/>
          <w:pgSz w:w="11906" w:h="16838" w:code="9"/>
          <w:pgMar w:top="2304" w:right="792" w:bottom="792" w:left="792" w:header="605" w:footer="706" w:gutter="0"/>
          <w:cols w:space="708"/>
          <w:docGrid w:linePitch="360"/>
        </w:sectPr>
      </w:pPr>
    </w:p>
    <w:p w:rsidR="00BF6ACB" w:rsidRPr="003249D9" w:rsidRDefault="00AB7CFF">
      <w:pPr>
        <w:pStyle w:val="TASSubsection"/>
        <w:framePr w:wrap="around"/>
        <w:rPr>
          <w:rFonts w:asciiTheme="minorHAnsi" w:hAnsiTheme="minorHAnsi"/>
        </w:rPr>
      </w:pPr>
      <w:bookmarkStart w:id="19" w:name="_Toc401154922"/>
      <w:bookmarkStart w:id="20" w:name="_Toc403750025"/>
      <w:r w:rsidRPr="003249D9">
        <w:rPr>
          <w:rFonts w:asciiTheme="minorHAnsi" w:hAnsiTheme="minorHAnsi"/>
        </w:rPr>
        <w:lastRenderedPageBreak/>
        <w:t>Adózási megfontolások</w:t>
      </w:r>
      <w:bookmarkEnd w:id="19"/>
      <w:bookmarkEnd w:id="20"/>
    </w:p>
    <w:p w:rsidR="00BF6ACB" w:rsidRPr="003249D9" w:rsidRDefault="00AB7CFF">
      <w:pPr>
        <w:pStyle w:val="TASStraplinefirst"/>
        <w:framePr w:wrap="notBeside"/>
        <w:rPr>
          <w:rFonts w:asciiTheme="minorHAnsi" w:hAnsiTheme="minorHAnsi"/>
        </w:rPr>
      </w:pPr>
      <w:r w:rsidRPr="003249D9">
        <w:rPr>
          <w:rFonts w:asciiTheme="minorHAnsi" w:hAnsiTheme="minorHAnsi"/>
        </w:rPr>
        <w:t xml:space="preserve">A magyarországi vállalati hitel </w:t>
      </w:r>
      <w:proofErr w:type="spellStart"/>
      <w:r w:rsidRPr="003249D9">
        <w:rPr>
          <w:rFonts w:asciiTheme="minorHAnsi" w:hAnsiTheme="minorHAnsi"/>
        </w:rPr>
        <w:t>restrukturálási</w:t>
      </w:r>
      <w:proofErr w:type="spellEnd"/>
      <w:r w:rsidRPr="003249D9">
        <w:rPr>
          <w:rFonts w:asciiTheme="minorHAnsi" w:hAnsiTheme="minorHAnsi"/>
        </w:rPr>
        <w:t xml:space="preserve"> és felszámolási környezetről készített jelentés</w:t>
      </w:r>
    </w:p>
    <w:p w:rsidR="00BF6ACB" w:rsidRPr="003249D9" w:rsidRDefault="00AB7CFF" w:rsidP="009A73FD">
      <w:pPr>
        <w:pStyle w:val="TASTextheading1"/>
        <w:numPr>
          <w:ilvl w:val="0"/>
          <w:numId w:val="31"/>
        </w:numPr>
        <w:rPr>
          <w:rFonts w:asciiTheme="minorHAnsi" w:hAnsiTheme="minorHAnsi"/>
        </w:rPr>
      </w:pPr>
      <w:r w:rsidRPr="003249D9">
        <w:rPr>
          <w:rFonts w:asciiTheme="minorHAnsi" w:hAnsiTheme="minorHAnsi"/>
        </w:rPr>
        <w:t xml:space="preserve">A JELENLEGI ADÓKÖRNYEZET </w:t>
      </w:r>
      <w:proofErr w:type="gramStart"/>
      <w:r w:rsidRPr="003249D9">
        <w:rPr>
          <w:rFonts w:asciiTheme="minorHAnsi" w:hAnsiTheme="minorHAnsi"/>
        </w:rPr>
        <w:t>ÉS</w:t>
      </w:r>
      <w:proofErr w:type="gramEnd"/>
      <w:r w:rsidRPr="003249D9">
        <w:rPr>
          <w:rFonts w:asciiTheme="minorHAnsi" w:hAnsiTheme="minorHAnsi"/>
        </w:rPr>
        <w:t xml:space="preserve"> FŐBB </w:t>
      </w:r>
      <w:r w:rsidR="00392068">
        <w:rPr>
          <w:rFonts w:asciiTheme="minorHAnsi" w:hAnsiTheme="minorHAnsi"/>
        </w:rPr>
        <w:t>SZÁMVITELI</w:t>
      </w:r>
      <w:r w:rsidRPr="003249D9">
        <w:rPr>
          <w:rFonts w:asciiTheme="minorHAnsi" w:hAnsiTheme="minorHAnsi"/>
        </w:rPr>
        <w:t xml:space="preserve"> SZEMPONTOK</w:t>
      </w:r>
    </w:p>
    <w:p w:rsidR="00BF6ACB" w:rsidRPr="003249D9" w:rsidRDefault="00AB7CFF" w:rsidP="009A73FD">
      <w:pPr>
        <w:pStyle w:val="TASTextheading2"/>
        <w:numPr>
          <w:ilvl w:val="1"/>
          <w:numId w:val="31"/>
        </w:numPr>
        <w:rPr>
          <w:rFonts w:asciiTheme="minorHAnsi" w:hAnsiTheme="minorHAnsi"/>
        </w:rPr>
      </w:pPr>
      <w:r w:rsidRPr="003249D9">
        <w:rPr>
          <w:rFonts w:asciiTheme="minorHAnsi" w:hAnsiTheme="minorHAnsi"/>
        </w:rPr>
        <w:t xml:space="preserve">Általános adózási és </w:t>
      </w:r>
      <w:r w:rsidR="00392068">
        <w:rPr>
          <w:rFonts w:asciiTheme="minorHAnsi" w:hAnsiTheme="minorHAnsi"/>
        </w:rPr>
        <w:t>számviteli</w:t>
      </w:r>
      <w:r w:rsidRPr="003249D9">
        <w:rPr>
          <w:rFonts w:asciiTheme="minorHAnsi" w:hAnsiTheme="minorHAnsi"/>
        </w:rPr>
        <w:t xml:space="preserve"> szabályok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Az alábbiakban röviden összegezzük azokat a főbb </w:t>
      </w:r>
      <w:r w:rsidR="00392068">
        <w:rPr>
          <w:rFonts w:asciiTheme="minorHAnsi" w:hAnsiTheme="minorHAnsi"/>
        </w:rPr>
        <w:t xml:space="preserve">számviteli </w:t>
      </w:r>
      <w:r w:rsidRPr="003249D9">
        <w:rPr>
          <w:rFonts w:asciiTheme="minorHAnsi" w:hAnsiTheme="minorHAnsi"/>
        </w:rPr>
        <w:t xml:space="preserve">és adózási szempontokat, amelyek vizsgálata a bankok </w:t>
      </w:r>
      <w:proofErr w:type="spellStart"/>
      <w:r w:rsidRPr="003249D9">
        <w:rPr>
          <w:rFonts w:asciiTheme="minorHAnsi" w:hAnsiTheme="minorHAnsi"/>
        </w:rPr>
        <w:t>NPL-portfoliója</w:t>
      </w:r>
      <w:proofErr w:type="spellEnd"/>
      <w:r w:rsidRPr="003249D9">
        <w:rPr>
          <w:rFonts w:asciiTheme="minorHAnsi" w:hAnsiTheme="minorHAnsi"/>
        </w:rPr>
        <w:t xml:space="preserve"> kapcsán jelentkező nehézségek okainak adózási és </w:t>
      </w:r>
      <w:r w:rsidR="00392068">
        <w:rPr>
          <w:rFonts w:asciiTheme="minorHAnsi" w:hAnsiTheme="minorHAnsi"/>
        </w:rPr>
        <w:t>számviteli</w:t>
      </w:r>
      <w:r w:rsidR="00392068" w:rsidRPr="003249D9">
        <w:rPr>
          <w:rFonts w:asciiTheme="minorHAnsi" w:hAnsiTheme="minorHAnsi"/>
        </w:rPr>
        <w:t xml:space="preserve"> </w:t>
      </w:r>
      <w:r w:rsidRPr="003249D9">
        <w:rPr>
          <w:rFonts w:asciiTheme="minorHAnsi" w:hAnsiTheme="minorHAnsi"/>
        </w:rPr>
        <w:t xml:space="preserve">szempontból történő megértéséhez szükséges.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legfontosabb vonatkozó jogszabályok Magyarországon:</w:t>
      </w:r>
    </w:p>
    <w:p w:rsidR="00BF6ACB" w:rsidRPr="003249D9" w:rsidRDefault="00AB7CFF" w:rsidP="009A73FD">
      <w:pPr>
        <w:pStyle w:val="TASBullet2"/>
        <w:numPr>
          <w:ilvl w:val="1"/>
          <w:numId w:val="28"/>
        </w:numPr>
        <w:rPr>
          <w:rFonts w:asciiTheme="minorHAnsi" w:hAnsiTheme="minorHAnsi"/>
        </w:rPr>
      </w:pPr>
      <w:r w:rsidRPr="003249D9">
        <w:rPr>
          <w:rFonts w:asciiTheme="minorHAnsi" w:hAnsiTheme="minorHAnsi"/>
        </w:rPr>
        <w:t>Számviteli törvény (2000. évi C. törvény)</w:t>
      </w:r>
    </w:p>
    <w:p w:rsidR="00BF6ACB" w:rsidRPr="003249D9" w:rsidRDefault="00AB7CFF" w:rsidP="009A73FD">
      <w:pPr>
        <w:pStyle w:val="TASBullet2"/>
        <w:numPr>
          <w:ilvl w:val="1"/>
          <w:numId w:val="28"/>
        </w:numPr>
        <w:rPr>
          <w:rFonts w:asciiTheme="minorHAnsi" w:hAnsiTheme="minorHAnsi"/>
        </w:rPr>
      </w:pPr>
      <w:r w:rsidRPr="003249D9">
        <w:rPr>
          <w:rFonts w:asciiTheme="minorHAnsi" w:hAnsiTheme="minorHAnsi"/>
        </w:rPr>
        <w:t>a hitelintézetek és a pénzügyi vállalkozások éves beszámoló készítési és könyvvezetési kötelezettségének sajátosságairól szóló kormányrendelet (2000. évi 250. kormányrendelet)</w:t>
      </w:r>
    </w:p>
    <w:p w:rsidR="00BF6ACB" w:rsidRPr="003249D9" w:rsidRDefault="00AB7CFF" w:rsidP="009A73FD">
      <w:pPr>
        <w:pStyle w:val="TASBullet2"/>
        <w:numPr>
          <w:ilvl w:val="1"/>
          <w:numId w:val="28"/>
        </w:numPr>
        <w:rPr>
          <w:rFonts w:asciiTheme="minorHAnsi" w:hAnsiTheme="minorHAnsi"/>
        </w:rPr>
      </w:pPr>
      <w:r w:rsidRPr="003249D9">
        <w:rPr>
          <w:rFonts w:asciiTheme="minorHAnsi" w:hAnsiTheme="minorHAnsi"/>
        </w:rPr>
        <w:t>IFRS</w:t>
      </w:r>
    </w:p>
    <w:p w:rsidR="00BF6ACB" w:rsidRPr="003249D9" w:rsidRDefault="00AB7CFF" w:rsidP="009A73FD">
      <w:pPr>
        <w:pStyle w:val="TASBullet2"/>
        <w:numPr>
          <w:ilvl w:val="1"/>
          <w:numId w:val="28"/>
        </w:numPr>
        <w:rPr>
          <w:rFonts w:asciiTheme="minorHAnsi" w:hAnsiTheme="minorHAnsi"/>
        </w:rPr>
      </w:pPr>
      <w:r w:rsidRPr="003249D9">
        <w:rPr>
          <w:rFonts w:asciiTheme="minorHAnsi" w:hAnsiTheme="minorHAnsi"/>
        </w:rPr>
        <w:t>A társasági adóról és az osztalékadóról szóló törvény (1996. évi LXXXI. törvény)</w:t>
      </w:r>
    </w:p>
    <w:p w:rsidR="00BF6ACB" w:rsidRPr="003249D9" w:rsidRDefault="00AB7CFF" w:rsidP="009A73FD">
      <w:pPr>
        <w:pStyle w:val="TASBullet2"/>
        <w:numPr>
          <w:ilvl w:val="1"/>
          <w:numId w:val="28"/>
        </w:numPr>
        <w:rPr>
          <w:rFonts w:asciiTheme="minorHAnsi" w:hAnsiTheme="minorHAnsi"/>
        </w:rPr>
      </w:pPr>
      <w:r w:rsidRPr="003249D9">
        <w:rPr>
          <w:rFonts w:asciiTheme="minorHAnsi" w:hAnsiTheme="minorHAnsi"/>
        </w:rPr>
        <w:t xml:space="preserve">Illetékekről szóló törvény (1990. évi XCIII. törvény) (ez a törvény rendelkezik az </w:t>
      </w:r>
      <w:r w:rsidR="00392068">
        <w:rPr>
          <w:rFonts w:asciiTheme="minorHAnsi" w:hAnsiTheme="minorHAnsi"/>
        </w:rPr>
        <w:t>visszterhes vagyon</w:t>
      </w:r>
      <w:r w:rsidRPr="003249D9">
        <w:rPr>
          <w:rFonts w:asciiTheme="minorHAnsi" w:hAnsiTheme="minorHAnsi"/>
        </w:rPr>
        <w:t xml:space="preserve">átruházási illetékről) </w:t>
      </w:r>
    </w:p>
    <w:p w:rsidR="00BF6ACB" w:rsidRPr="003249D9" w:rsidRDefault="00AB7CFF" w:rsidP="009A73FD">
      <w:pPr>
        <w:pStyle w:val="TASBullet2"/>
        <w:numPr>
          <w:ilvl w:val="1"/>
          <w:numId w:val="28"/>
        </w:numPr>
        <w:rPr>
          <w:rFonts w:asciiTheme="minorHAnsi" w:hAnsiTheme="minorHAnsi"/>
        </w:rPr>
      </w:pPr>
      <w:proofErr w:type="spellStart"/>
      <w:r w:rsidRPr="003249D9">
        <w:rPr>
          <w:rFonts w:asciiTheme="minorHAnsi" w:hAnsiTheme="minorHAnsi"/>
        </w:rPr>
        <w:t>ÁFA-törvény</w:t>
      </w:r>
      <w:proofErr w:type="spellEnd"/>
      <w:r w:rsidRPr="003249D9">
        <w:rPr>
          <w:rFonts w:asciiTheme="minorHAnsi" w:hAnsiTheme="minorHAnsi"/>
        </w:rPr>
        <w:t xml:space="preserve"> (2007. évi CXXVII. törvény)</w:t>
      </w:r>
    </w:p>
    <w:p w:rsidR="00BF6ACB" w:rsidRPr="003249D9" w:rsidRDefault="00AB7CFF" w:rsidP="009A73FD">
      <w:pPr>
        <w:pStyle w:val="TASBullet2"/>
        <w:numPr>
          <w:ilvl w:val="1"/>
          <w:numId w:val="28"/>
        </w:numPr>
        <w:rPr>
          <w:rFonts w:asciiTheme="minorHAnsi" w:hAnsiTheme="minorHAnsi"/>
        </w:rPr>
      </w:pPr>
      <w:r w:rsidRPr="003249D9">
        <w:rPr>
          <w:rFonts w:asciiTheme="minorHAnsi" w:hAnsiTheme="minorHAnsi"/>
        </w:rPr>
        <w:t>A helyi adókról szóló törvény (1990. évi C. törvény)</w:t>
      </w:r>
    </w:p>
    <w:p w:rsidR="00BF6ACB" w:rsidRPr="003249D9" w:rsidRDefault="00AB7CFF" w:rsidP="009A73FD">
      <w:pPr>
        <w:pStyle w:val="TASBullet2"/>
        <w:numPr>
          <w:ilvl w:val="1"/>
          <w:numId w:val="28"/>
        </w:numPr>
        <w:rPr>
          <w:rFonts w:asciiTheme="minorHAnsi" w:hAnsiTheme="minorHAnsi"/>
        </w:rPr>
      </w:pPr>
      <w:r w:rsidRPr="003249D9">
        <w:rPr>
          <w:rFonts w:asciiTheme="minorHAnsi" w:hAnsiTheme="minorHAnsi"/>
        </w:rPr>
        <w:t>A Kutatási és Technológiai Innovációs Alapról szóló törvény (2003. évi XC. törvény)</w:t>
      </w:r>
    </w:p>
    <w:p w:rsidR="00BF6ACB" w:rsidRPr="003249D9" w:rsidRDefault="00AB7CFF" w:rsidP="00BF6ACB">
      <w:pPr>
        <w:pStyle w:val="TASTextheading2"/>
        <w:rPr>
          <w:rFonts w:asciiTheme="minorHAnsi" w:hAnsiTheme="minorHAnsi"/>
        </w:rPr>
      </w:pPr>
      <w:r w:rsidRPr="003249D9">
        <w:rPr>
          <w:rFonts w:asciiTheme="minorHAnsi" w:hAnsiTheme="minorHAnsi"/>
        </w:rPr>
        <w:t xml:space="preserve">Főbb </w:t>
      </w:r>
      <w:r w:rsidR="00392068">
        <w:rPr>
          <w:rFonts w:asciiTheme="minorHAnsi" w:hAnsiTheme="minorHAnsi"/>
        </w:rPr>
        <w:t xml:space="preserve">számviteli </w:t>
      </w:r>
      <w:r w:rsidRPr="003249D9">
        <w:rPr>
          <w:rFonts w:asciiTheme="minorHAnsi" w:hAnsiTheme="minorHAnsi"/>
        </w:rPr>
        <w:t xml:space="preserve">szempontok – magyar számviteli szabályok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bankoknak rendszeresen (legalább negyedévente) meg kell állapítaniuk kinnlevőségeik várható </w:t>
      </w:r>
      <w:r w:rsidR="00392068">
        <w:rPr>
          <w:rFonts w:asciiTheme="minorHAnsi" w:hAnsiTheme="minorHAnsi"/>
        </w:rPr>
        <w:t>megtérülését</w:t>
      </w:r>
      <w:r w:rsidRPr="003249D9">
        <w:rPr>
          <w:rFonts w:asciiTheme="minorHAnsi" w:hAnsiTheme="minorHAnsi"/>
        </w:rPr>
        <w:t xml:space="preserve"> adósaik pénzügyi helyzetének vizsgálata alapján.</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Ha a vizsgálat alapján a várhatóan beszedhető összeg jelentősen és tartósan a kinnlevőség könyv szerinti értéke alatt van, akkor a banknak a kinnlevősége értékvesztését kell elkönyvelnie a várhatóan beszed</w:t>
      </w:r>
      <w:r w:rsidR="00392068">
        <w:rPr>
          <w:rFonts w:asciiTheme="minorHAnsi" w:hAnsiTheme="minorHAnsi"/>
        </w:rPr>
        <w:t>hető</w:t>
      </w:r>
      <w:r w:rsidRPr="003249D9">
        <w:rPr>
          <w:rFonts w:asciiTheme="minorHAnsi" w:hAnsiTheme="minorHAnsi"/>
        </w:rPr>
        <w:t xml:space="preserve"> összeg</w:t>
      </w:r>
      <w:r w:rsidR="00392068">
        <w:rPr>
          <w:rFonts w:asciiTheme="minorHAnsi" w:hAnsiTheme="minorHAnsi"/>
        </w:rPr>
        <w:t>re</w:t>
      </w:r>
      <w:r w:rsidRPr="003249D9">
        <w:rPr>
          <w:rFonts w:asciiTheme="minorHAnsi" w:hAnsiTheme="minorHAnsi"/>
        </w:rPr>
        <w:t xml:space="preserve"> </w:t>
      </w:r>
      <w:r w:rsidR="00392068">
        <w:rPr>
          <w:rFonts w:asciiTheme="minorHAnsi" w:hAnsiTheme="minorHAnsi"/>
        </w:rPr>
        <w:t xml:space="preserve">történő </w:t>
      </w:r>
      <w:r w:rsidRPr="003249D9">
        <w:rPr>
          <w:rFonts w:asciiTheme="minorHAnsi" w:hAnsiTheme="minorHAnsi"/>
        </w:rPr>
        <w:t>csökkentése érdekében.</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Ha a vizsgálat alapján a várhatóan beszedhető összeg jelentősen és tartósan a kinnlevőség könyv szerinti értéke felett van, akkor a banknak a kinnlevőségére korábban elkönyvelt értékvesztést csökkentenie kell.</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w:t>
      </w:r>
      <w:proofErr w:type="spellStart"/>
      <w:r w:rsidRPr="003249D9">
        <w:rPr>
          <w:rFonts w:asciiTheme="minorHAnsi" w:hAnsiTheme="minorHAnsi"/>
        </w:rPr>
        <w:t>nemteljesítő</w:t>
      </w:r>
      <w:proofErr w:type="spellEnd"/>
      <w:r w:rsidRPr="003249D9">
        <w:rPr>
          <w:rFonts w:asciiTheme="minorHAnsi" w:hAnsiTheme="minorHAnsi"/>
        </w:rPr>
        <w:t xml:space="preserve"> kinnlevőségeket (ideértve a 100%-os értékvesztéssel könyvelt kinnlevőségeket) a könyvelésben fel kell tüntetni mindaddig, amíg „behajthatatlannak” minősülnek a számviteli törvény alapján (feltételezve, hogy a bank nem dönt a kinnlevőségek eladása / részleges elengedése / természetbeni </w:t>
      </w:r>
      <w:proofErr w:type="spellStart"/>
      <w:r w:rsidR="00392068">
        <w:rPr>
          <w:rFonts w:asciiTheme="minorHAnsi" w:hAnsiTheme="minorHAnsi"/>
        </w:rPr>
        <w:t>tőkehozzájárulásként</w:t>
      </w:r>
      <w:proofErr w:type="spellEnd"/>
      <w:r w:rsidR="00392068">
        <w:rPr>
          <w:rFonts w:asciiTheme="minorHAnsi" w:hAnsiTheme="minorHAnsi"/>
        </w:rPr>
        <w:t xml:space="preserve"> történő átadása</w:t>
      </w:r>
      <w:r w:rsidRPr="003249D9">
        <w:rPr>
          <w:rFonts w:asciiTheme="minorHAnsi" w:hAnsiTheme="minorHAnsi"/>
        </w:rPr>
        <w:t xml:space="preserve"> mellett).</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rossz hitel behajthatatlan kinnlevőségnek minősítésére szigorú szabályok vonatkoznak. Általánosságban a rossz hitelek az alábbi esetekben válnak behajthatatlanná:</w:t>
      </w:r>
    </w:p>
    <w:p w:rsidR="00BF6ACB" w:rsidRPr="003249D9" w:rsidRDefault="00AB7CFF" w:rsidP="009A73FD">
      <w:pPr>
        <w:pStyle w:val="TASBullet2"/>
        <w:numPr>
          <w:ilvl w:val="1"/>
          <w:numId w:val="32"/>
        </w:numPr>
        <w:rPr>
          <w:rFonts w:asciiTheme="minorHAnsi" w:hAnsiTheme="minorHAnsi"/>
        </w:rPr>
      </w:pPr>
      <w:r w:rsidRPr="003249D9">
        <w:rPr>
          <w:rFonts w:asciiTheme="minorHAnsi" w:hAnsiTheme="minorHAnsi"/>
        </w:rPr>
        <w:t>A felszámoló által kiállított tanúsítvány (vagy írásos nyilatkozat) bizonyítja, ha az adós nem rendelkezik olyan vagyontárgyakkal, amelyek a kinnlevőség rendezését lehetővé tennék.</w:t>
      </w:r>
    </w:p>
    <w:p w:rsidR="00BF6ACB" w:rsidRPr="003249D9" w:rsidRDefault="00AB7CFF" w:rsidP="009A73FD">
      <w:pPr>
        <w:pStyle w:val="TASBullet2"/>
        <w:numPr>
          <w:ilvl w:val="1"/>
          <w:numId w:val="32"/>
        </w:numPr>
        <w:rPr>
          <w:rFonts w:asciiTheme="minorHAnsi" w:hAnsiTheme="minorHAnsi"/>
        </w:rPr>
      </w:pPr>
      <w:r w:rsidRPr="003249D9">
        <w:rPr>
          <w:rFonts w:asciiTheme="minorHAnsi" w:hAnsiTheme="minorHAnsi"/>
        </w:rPr>
        <w:t>Ha a kinnlevőség nem szedhető be az adóstól az eszközöknek a hitelezők közötti felosztására tett ajánlat alapján átvett eszközökből a felszámolási eljárás végén.</w:t>
      </w:r>
    </w:p>
    <w:p w:rsidR="00BF6ACB" w:rsidRPr="003249D9" w:rsidRDefault="00AB7CFF" w:rsidP="009A73FD">
      <w:pPr>
        <w:pStyle w:val="TASBullet2"/>
        <w:numPr>
          <w:ilvl w:val="1"/>
          <w:numId w:val="32"/>
        </w:numPr>
        <w:rPr>
          <w:rFonts w:asciiTheme="minorHAnsi" w:hAnsiTheme="minorHAnsi"/>
        </w:rPr>
      </w:pPr>
      <w:r w:rsidRPr="003249D9">
        <w:rPr>
          <w:rFonts w:asciiTheme="minorHAnsi" w:hAnsiTheme="minorHAnsi"/>
        </w:rPr>
        <w:t>A hitelező a kinnlevőséget a hitelezők általi, csődeljárás vagy felszámolási eljárás keretében elért csődegyezség révén elengedi.</w:t>
      </w:r>
    </w:p>
    <w:p w:rsidR="00BF6ACB" w:rsidRPr="003249D9" w:rsidRDefault="00AB7CFF" w:rsidP="009A73FD">
      <w:pPr>
        <w:pStyle w:val="TASBullet2"/>
        <w:numPr>
          <w:ilvl w:val="1"/>
          <w:numId w:val="32"/>
        </w:numPr>
        <w:rPr>
          <w:rFonts w:asciiTheme="minorHAnsi" w:hAnsiTheme="minorHAnsi"/>
        </w:rPr>
      </w:pPr>
      <w:r w:rsidRPr="003249D9">
        <w:rPr>
          <w:rFonts w:asciiTheme="minorHAnsi" w:hAnsiTheme="minorHAnsi"/>
        </w:rPr>
        <w:t>A végrehajtási eljárás végén, ha a végrehajtási dokumentum bizonyítja, hogy az adós vagyona nem fedezi teljes mértékben a kinnlevőséget.</w:t>
      </w:r>
    </w:p>
    <w:p w:rsidR="00BF6ACB" w:rsidRPr="003249D9" w:rsidRDefault="00AB7CFF" w:rsidP="009A73FD">
      <w:pPr>
        <w:pStyle w:val="TASBullet2"/>
        <w:numPr>
          <w:ilvl w:val="1"/>
          <w:numId w:val="32"/>
        </w:numPr>
        <w:rPr>
          <w:rFonts w:asciiTheme="minorHAnsi" w:hAnsiTheme="minorHAnsi"/>
        </w:rPr>
      </w:pPr>
      <w:r w:rsidRPr="003249D9">
        <w:rPr>
          <w:rFonts w:asciiTheme="minorHAnsi" w:hAnsiTheme="minorHAnsi"/>
        </w:rPr>
        <w:t>Ha a várható beszedési költségek nem állnak arányban a várhatóan beszedhető összeggel.</w:t>
      </w:r>
      <w:r w:rsidR="00405471">
        <w:rPr>
          <w:rFonts w:asciiTheme="minorHAnsi" w:hAnsiTheme="minorHAnsi"/>
        </w:rPr>
        <w:t xml:space="preserve"> </w:t>
      </w:r>
    </w:p>
    <w:p w:rsidR="00BF6ACB" w:rsidRPr="003249D9" w:rsidRDefault="00AB7CFF" w:rsidP="009A73FD">
      <w:pPr>
        <w:pStyle w:val="TASBullet2"/>
        <w:numPr>
          <w:ilvl w:val="1"/>
          <w:numId w:val="32"/>
        </w:numPr>
        <w:rPr>
          <w:rFonts w:asciiTheme="minorHAnsi" w:hAnsiTheme="minorHAnsi"/>
        </w:rPr>
      </w:pPr>
      <w:r w:rsidRPr="003249D9">
        <w:rPr>
          <w:rFonts w:asciiTheme="minorHAnsi" w:hAnsiTheme="minorHAnsi"/>
        </w:rPr>
        <w:t>Ha az adós tartózkodási helye nem állapítható meg.</w:t>
      </w:r>
    </w:p>
    <w:p w:rsidR="00BF6ACB" w:rsidRPr="003249D9" w:rsidRDefault="00AB7CFF" w:rsidP="009A73FD">
      <w:pPr>
        <w:pStyle w:val="TASBullet2"/>
        <w:numPr>
          <w:ilvl w:val="1"/>
          <w:numId w:val="32"/>
        </w:numPr>
        <w:rPr>
          <w:rFonts w:asciiTheme="minorHAnsi" w:hAnsiTheme="minorHAnsi"/>
        </w:rPr>
      </w:pPr>
      <w:r w:rsidRPr="003249D9">
        <w:rPr>
          <w:rFonts w:asciiTheme="minorHAnsi" w:hAnsiTheme="minorHAnsi"/>
        </w:rPr>
        <w:t>Ha a kinnlevőség nem hajtható be bírósági eljárás útján.</w:t>
      </w:r>
    </w:p>
    <w:p w:rsidR="00BF6ACB" w:rsidRPr="003249D9" w:rsidRDefault="00AB7CFF" w:rsidP="009A73FD">
      <w:pPr>
        <w:pStyle w:val="TASBullet2"/>
        <w:numPr>
          <w:ilvl w:val="1"/>
          <w:numId w:val="32"/>
        </w:numPr>
        <w:rPr>
          <w:rFonts w:asciiTheme="minorHAnsi" w:hAnsiTheme="minorHAnsi"/>
        </w:rPr>
      </w:pPr>
      <w:r w:rsidRPr="003249D9">
        <w:rPr>
          <w:rFonts w:asciiTheme="minorHAnsi" w:hAnsiTheme="minorHAnsi"/>
        </w:rPr>
        <w:t>Ha a kin</w:t>
      </w:r>
      <w:r w:rsidR="00392068">
        <w:rPr>
          <w:rFonts w:asciiTheme="minorHAnsi" w:hAnsiTheme="minorHAnsi"/>
        </w:rPr>
        <w:t>nlevőség a jogszabályok szerint elévült</w:t>
      </w:r>
      <w:r w:rsidRPr="003249D9">
        <w:rPr>
          <w:rFonts w:asciiTheme="minorHAnsi" w:hAnsiTheme="minorHAnsi"/>
        </w:rPr>
        <w:t>.</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rossz kinnlevőség kifizetetlen kamata nem tüntethető fel kinnlevőségként a mérlegben vagy bevételként az </w:t>
      </w:r>
      <w:proofErr w:type="spellStart"/>
      <w:r w:rsidRPr="003249D9">
        <w:rPr>
          <w:rFonts w:asciiTheme="minorHAnsi" w:hAnsiTheme="minorHAnsi"/>
        </w:rPr>
        <w:t>eredménykimutatásban</w:t>
      </w:r>
      <w:proofErr w:type="spellEnd"/>
      <w:r w:rsidRPr="003249D9">
        <w:rPr>
          <w:rFonts w:asciiTheme="minorHAnsi" w:hAnsiTheme="minorHAnsi"/>
        </w:rPr>
        <w:t xml:space="preserve"> annak beszedéséig. </w:t>
      </w:r>
    </w:p>
    <w:p w:rsidR="00BF6ACB" w:rsidRPr="003249D9" w:rsidRDefault="00AB7CFF" w:rsidP="00BF6ACB">
      <w:pPr>
        <w:pStyle w:val="TASTextheading2"/>
        <w:rPr>
          <w:rFonts w:asciiTheme="minorHAnsi" w:hAnsiTheme="minorHAnsi"/>
        </w:rPr>
      </w:pPr>
      <w:r w:rsidRPr="003249D9">
        <w:rPr>
          <w:rFonts w:asciiTheme="minorHAnsi" w:hAnsiTheme="minorHAnsi"/>
        </w:rPr>
        <w:lastRenderedPageBreak/>
        <w:t xml:space="preserve">Főbb </w:t>
      </w:r>
      <w:r w:rsidR="00392068">
        <w:rPr>
          <w:rFonts w:asciiTheme="minorHAnsi" w:hAnsiTheme="minorHAnsi"/>
        </w:rPr>
        <w:t xml:space="preserve">számviteli </w:t>
      </w:r>
      <w:r w:rsidRPr="003249D9">
        <w:rPr>
          <w:rFonts w:asciiTheme="minorHAnsi" w:hAnsiTheme="minorHAnsi"/>
        </w:rPr>
        <w:t xml:space="preserve">szempontok – IFRS szabályok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Az IFRS alapján a hiteleket és kinnlevőségeket az eredeti könyvelésbe vételük időpontjában </w:t>
      </w:r>
      <w:r w:rsidR="00392068">
        <w:rPr>
          <w:rFonts w:asciiTheme="minorHAnsi" w:hAnsiTheme="minorHAnsi"/>
        </w:rPr>
        <w:t xml:space="preserve">érvényes piaci </w:t>
      </w:r>
      <w:r w:rsidRPr="003249D9">
        <w:rPr>
          <w:rFonts w:asciiTheme="minorHAnsi" w:hAnsiTheme="minorHAnsi"/>
        </w:rPr>
        <w:t>értéken (IAS 39.43), és a közvetlenül kapcsolódó tranzakciós költségekkel igazítva kell számítani.</w:t>
      </w:r>
      <w:r w:rsidR="00405471">
        <w:rPr>
          <w:rFonts w:asciiTheme="minorHAnsi" w:hAnsiTheme="minorHAnsi"/>
        </w:rPr>
        <w:t xml:space="preserve"> </w:t>
      </w:r>
      <w:r w:rsidRPr="003249D9">
        <w:rPr>
          <w:rFonts w:asciiTheme="minorHAnsi" w:hAnsiTheme="minorHAnsi"/>
        </w:rPr>
        <w:t xml:space="preserve">Az eredeti könyvelésbe vételt követően a hiteleket és kinnlevőségeket a tényleges kamatláb módszerének alkalmazásával amortizációs költségen kell számítani, illetve értékvesztési vizsgálat alá kell helyezni a nyereségeknek és veszteségeknek az </w:t>
      </w:r>
      <w:proofErr w:type="spellStart"/>
      <w:r w:rsidRPr="003249D9">
        <w:rPr>
          <w:rFonts w:asciiTheme="minorHAnsi" w:hAnsiTheme="minorHAnsi"/>
        </w:rPr>
        <w:t>eredménykimutatásban</w:t>
      </w:r>
      <w:proofErr w:type="spellEnd"/>
      <w:r w:rsidRPr="003249D9">
        <w:rPr>
          <w:rFonts w:asciiTheme="minorHAnsi" w:hAnsiTheme="minorHAnsi"/>
        </w:rPr>
        <w:t xml:space="preserve"> történő könyvelésével az instrumentum értékvesztésekor.</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Az értékvesztés vizsgálatára minden jelentéstételi időszak végén sort kell keríteni annak megállapítása érdekében, hogy található-e objektív bizonyíték arra, hogy egy adott hitel vagy hitelcsoport esetén értékvesztés történt (IAS39. 58). Amennyiben van erre bizonyíték, akkor az értékvesztés vizsgálatát el kell végezni.</w:t>
      </w:r>
      <w:r w:rsidR="00405471">
        <w:rPr>
          <w:rFonts w:asciiTheme="minorHAnsi" w:hAnsiTheme="minorHAnsi"/>
        </w:rPr>
        <w:t xml:space="preserve">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Egy hitel vagy hitelcsoport értékvesztésére akkor kerül sor, ha az eredeti könyvelést követően egy vagy több esemény (káresemény) eredményeképp bekövetkezett értékvesztésre objektív bizonyíték található, és a káresemény hatással van a pénzügyi eszköz vagy eszközök csoportjának becsült (megbízhatóan becsülhető) jövőbeni pénzforgalmi mérlegére (IAS 39.59).</w:t>
      </w:r>
      <w:r w:rsidR="00405471">
        <w:rPr>
          <w:rFonts w:asciiTheme="minorHAnsi" w:hAnsiTheme="minorHAnsi"/>
        </w:rPr>
        <w:t xml:space="preserve"> </w:t>
      </w:r>
      <w:r w:rsidRPr="003249D9">
        <w:rPr>
          <w:rFonts w:asciiTheme="minorHAnsi" w:hAnsiTheme="minorHAnsi"/>
        </w:rPr>
        <w:t>A jövőbeni események eredményeként várható veszteségek – függetlenül azok bekövetkezésének valószínűségétől – nem könyvelhetők el.</w:t>
      </w:r>
      <w:r w:rsidR="00405471">
        <w:rPr>
          <w:rFonts w:asciiTheme="minorHAnsi" w:hAnsiTheme="minorHAnsi"/>
        </w:rPr>
        <w:t xml:space="preserve">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Az egyénileg jelentős hitelek esetén egyéni értékvesztési vizsgálatot, egyéb eszközcsoportok esetén pedig kollektív értékvesztési vizsgálatot kell lefolytatni.</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Amennyiben objektív bizonyíték mutatható fel arra vonatkozóan, hogy értékvesztés merült fel, akkor a veszteséget az eszköz könyv szerinti értéke és a becsült jövőbeni pénzforgalmi mérleg jelenértéke különbségéként, és azt az eredetileg hatályos kamatlábbal diszkontálva kell számítani.</w:t>
      </w:r>
      <w:r w:rsidR="00405471">
        <w:rPr>
          <w:rFonts w:asciiTheme="minorHAnsi" w:hAnsiTheme="minorHAnsi"/>
        </w:rPr>
        <w:t xml:space="preserve">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Az értékvesztett kinnlevőség könyv szerinti értéke közvetlenül (vagyis az eszköz részleges vagy teljes könyvelésbeli csökkentésével) vagy egy értékvesztési számlán keresztül csökkenthető, és a veszteséget minden </w:t>
      </w:r>
      <w:proofErr w:type="gramStart"/>
      <w:r w:rsidRPr="003249D9">
        <w:rPr>
          <w:rFonts w:asciiTheme="minorHAnsi" w:hAnsiTheme="minorHAnsi"/>
        </w:rPr>
        <w:t>esetben</w:t>
      </w:r>
      <w:proofErr w:type="gramEnd"/>
      <w:r w:rsidRPr="003249D9">
        <w:rPr>
          <w:rFonts w:asciiTheme="minorHAnsi" w:hAnsiTheme="minorHAnsi"/>
        </w:rPr>
        <w:t xml:space="preserve"> az eredményben fel kell tüntetni (IAS 39.63).</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jelenlegi IFRS szabályok nem adnak útmutatást arra nézve, hogy mikor kell értékvesztési számlát alkalmazni, és mikor van lehetőség közvetlen leírásra. Ezek az előírások esetenként, illetve szervezetenként állapíthatók meg a bank kockázatkezelési irányelveivel összhangban. Az </w:t>
      </w:r>
      <w:proofErr w:type="spellStart"/>
      <w:r w:rsidRPr="003249D9">
        <w:rPr>
          <w:rFonts w:asciiTheme="minorHAnsi" w:hAnsiTheme="minorHAnsi"/>
        </w:rPr>
        <w:t>IFRS-t</w:t>
      </w:r>
      <w:proofErr w:type="spellEnd"/>
      <w:r w:rsidRPr="003249D9">
        <w:rPr>
          <w:rFonts w:asciiTheme="minorHAnsi" w:hAnsiTheme="minorHAnsi"/>
        </w:rPr>
        <w:t xml:space="preserve"> alkalmazó országokban általánosan elfogadott gyakorlat azon kinnlevőségek leírása, amelyekhez nincs ésszerűen várható visszafizetés rendelve – a visszafizetési folyamat státuszától függetlenül.</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Arra az esetre, amikor egy értékvesztési számlán jóváírt összeget később leírnak, az IFRS a pénzügyi beszámolókhoz csatolt jegyzetekben a leírás alapjául szolgáló körülmények bemutatását írja elő.</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felhalmozódott kamat olyan mértékben képezi az amortizált költségek (a kinnlevőségé) részét, amennyire a társaság azok visszafizetésére számít. Egy hitel vagy kinnlevőség értékvesztését követően a kamatbevételt az értékvesztési veszteség kiszámítása érdekében, a jövőbeni pénzforgalmi mérleg diszkontálásához használt kamatláb alapján könyvelik el.</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Az IFRS 9-es számviteli standardja (pénzügyi instrumentumok) – vagyis a pénzügyi instrumentumok könyvelésének új normáját – 2014 júliusában dolgozták ki, és 2018. január 1-jétől kezdődő jelentéstételi időszakokra nézve lép hatályba.</w:t>
      </w:r>
      <w:r w:rsidR="00405471">
        <w:rPr>
          <w:rFonts w:asciiTheme="minorHAnsi" w:hAnsiTheme="minorHAnsi"/>
        </w:rPr>
        <w:t xml:space="preserve"> </w:t>
      </w:r>
      <w:r w:rsidRPr="003249D9">
        <w:rPr>
          <w:rFonts w:asciiTheme="minorHAnsi" w:hAnsiTheme="minorHAnsi"/>
        </w:rPr>
        <w:t xml:space="preserve">Az </w:t>
      </w:r>
      <w:r w:rsidR="00392068">
        <w:rPr>
          <w:rFonts w:asciiTheme="minorHAnsi" w:hAnsiTheme="minorHAnsi"/>
        </w:rPr>
        <w:t>I</w:t>
      </w:r>
      <w:r w:rsidRPr="003249D9">
        <w:rPr>
          <w:rFonts w:asciiTheme="minorHAnsi" w:hAnsiTheme="minorHAnsi"/>
        </w:rPr>
        <w:t>FRS 9-es számviteli standardja szerint az értékvesztés kiszámítására vonatkozó szabályok a „várható veszteség”, nem pedig a „felmerült veszteség” modelljét követik majd, az értékvesztési számlán vagy közvetlenül felmerülő veszteségek könyvelésbe vétele tekintetében az útmutatás megegyezik a jelenlegi IAS 39 standarddal.</w:t>
      </w:r>
    </w:p>
    <w:p w:rsidR="00BF6ACB" w:rsidRPr="003249D9" w:rsidRDefault="00AB7CFF" w:rsidP="00BF6ACB">
      <w:pPr>
        <w:pStyle w:val="TASTextheading2"/>
        <w:rPr>
          <w:rFonts w:asciiTheme="minorHAnsi" w:hAnsiTheme="minorHAnsi"/>
        </w:rPr>
      </w:pPr>
      <w:r w:rsidRPr="003249D9">
        <w:rPr>
          <w:rFonts w:asciiTheme="minorHAnsi" w:hAnsiTheme="minorHAnsi"/>
        </w:rPr>
        <w:t xml:space="preserve">Társasági adó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társasági adót 10%-os/19%-os </w:t>
      </w:r>
      <w:r w:rsidR="00392068">
        <w:rPr>
          <w:rFonts w:asciiTheme="minorHAnsi" w:hAnsiTheme="minorHAnsi"/>
        </w:rPr>
        <w:t xml:space="preserve">módosított adózás előtti eredmény </w:t>
      </w:r>
      <w:r w:rsidRPr="003249D9">
        <w:rPr>
          <w:rFonts w:asciiTheme="minorHAnsi" w:hAnsiTheme="minorHAnsi"/>
        </w:rPr>
        <w:t>alapján számítják. Az alacsonyabb adókulcs vonatkozik az 500 millió forintig terjedő pozitív adóalapokra, míg a magasabb adókulcs az e feletti részre alkalmazandó.</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Az adóveszteségek határozatlan időtartamra továbbvihetők (TLCF). A továbbvitt adóveszteségek csak az adott év pozitív adóalapjának 50%-ig használhatók </w:t>
      </w:r>
      <w:r w:rsidR="00B10E25">
        <w:rPr>
          <w:rFonts w:asciiTheme="minorHAnsi" w:hAnsiTheme="minorHAnsi"/>
        </w:rPr>
        <w:t>fel</w:t>
      </w:r>
      <w:r w:rsidRPr="003249D9">
        <w:rPr>
          <w:rFonts w:asciiTheme="minorHAnsi" w:hAnsiTheme="minorHAnsi"/>
        </w:rPr>
        <w:t>.</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pénzintézetek által, pénzügyi tevékenységükből származó kinnlevőségeikre könyvelt értékvesztés a társasági </w:t>
      </w:r>
      <w:r w:rsidR="00452BAC">
        <w:rPr>
          <w:rFonts w:asciiTheme="minorHAnsi" w:hAnsiTheme="minorHAnsi"/>
        </w:rPr>
        <w:t>a</w:t>
      </w:r>
      <w:r w:rsidRPr="003249D9">
        <w:rPr>
          <w:rFonts w:asciiTheme="minorHAnsi" w:hAnsiTheme="minorHAnsi"/>
        </w:rPr>
        <w:t>dó</w:t>
      </w:r>
      <w:r w:rsidR="00452BAC">
        <w:rPr>
          <w:rFonts w:asciiTheme="minorHAnsi" w:hAnsiTheme="minorHAnsi"/>
        </w:rPr>
        <w:t>alap</w:t>
      </w:r>
      <w:r w:rsidRPr="003249D9">
        <w:rPr>
          <w:rFonts w:asciiTheme="minorHAnsi" w:hAnsiTheme="minorHAnsi"/>
        </w:rPr>
        <w:t xml:space="preserve">ból levonható. </w:t>
      </w:r>
    </w:p>
    <w:p w:rsidR="00BF6ACB" w:rsidRPr="003249D9" w:rsidRDefault="00AB7CFF" w:rsidP="00BF6ACB">
      <w:pPr>
        <w:pStyle w:val="TASTextheading2"/>
        <w:rPr>
          <w:rFonts w:asciiTheme="minorHAnsi" w:hAnsiTheme="minorHAnsi"/>
        </w:rPr>
      </w:pPr>
      <w:r w:rsidRPr="003249D9">
        <w:rPr>
          <w:rFonts w:asciiTheme="minorHAnsi" w:hAnsiTheme="minorHAnsi"/>
        </w:rPr>
        <w:lastRenderedPageBreak/>
        <w:t>Helyi iparűzési adó</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helyi iparűzési adót általánosságban a</w:t>
      </w:r>
      <w:r w:rsidR="002D3AA7">
        <w:rPr>
          <w:rFonts w:asciiTheme="minorHAnsi" w:hAnsiTheme="minorHAnsi"/>
        </w:rPr>
        <w:t xml:space="preserve"> módosított </w:t>
      </w:r>
      <w:r w:rsidRPr="003249D9">
        <w:rPr>
          <w:rFonts w:asciiTheme="minorHAnsi" w:hAnsiTheme="minorHAnsi"/>
        </w:rPr>
        <w:t>nettó árbevétel alapján számítják ki. A bankok esetén ugy</w:t>
      </w:r>
      <w:r w:rsidR="007430EB" w:rsidRPr="003249D9">
        <w:rPr>
          <w:rFonts w:asciiTheme="minorHAnsi" w:hAnsiTheme="minorHAnsi"/>
        </w:rPr>
        <w:t xml:space="preserve">anakkor </w:t>
      </w:r>
      <w:r w:rsidR="002D3AA7" w:rsidRPr="003249D9">
        <w:rPr>
          <w:rFonts w:asciiTheme="minorHAnsi" w:hAnsiTheme="minorHAnsi"/>
        </w:rPr>
        <w:t xml:space="preserve">néhány kivétellel mindennemű bevétel </w:t>
      </w:r>
      <w:r w:rsidR="007430EB" w:rsidRPr="003249D9">
        <w:rPr>
          <w:rFonts w:asciiTheme="minorHAnsi" w:hAnsiTheme="minorHAnsi"/>
        </w:rPr>
        <w:t>helyi iparűzési adó</w:t>
      </w:r>
      <w:r w:rsidR="002D3AA7">
        <w:rPr>
          <w:rFonts w:asciiTheme="minorHAnsi" w:hAnsiTheme="minorHAnsi"/>
        </w:rPr>
        <w:t xml:space="preserve">alapot </w:t>
      </w:r>
      <w:r w:rsidRPr="003249D9">
        <w:rPr>
          <w:rFonts w:asciiTheme="minorHAnsi" w:hAnsiTheme="minorHAnsi"/>
        </w:rPr>
        <w:t>kép</w:t>
      </w:r>
      <w:r w:rsidR="002D3AA7">
        <w:rPr>
          <w:rFonts w:asciiTheme="minorHAnsi" w:hAnsiTheme="minorHAnsi"/>
        </w:rPr>
        <w:t xml:space="preserve">ez </w:t>
      </w:r>
      <w:r w:rsidRPr="003249D9">
        <w:rPr>
          <w:rFonts w:asciiTheme="minorHAnsi" w:hAnsiTheme="minorHAnsi"/>
        </w:rPr>
        <w:t>(az értékpapírokból származó bevétel, nem banki tevékenységekből származó bevételek egy része, valamint a rendkívül bevétel kivételével).</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kamatbevétel és az árfolyamnyereségek adókötelesek. Miután a rossz kinnlevőségekre számított megfizetetlen kamatbevétel nem jeleníthető meg bevételként a könyvelésben, ezért </w:t>
      </w:r>
      <w:proofErr w:type="gramStart"/>
      <w:r w:rsidRPr="003249D9">
        <w:rPr>
          <w:rFonts w:asciiTheme="minorHAnsi" w:hAnsiTheme="minorHAnsi"/>
        </w:rPr>
        <w:t>az</w:t>
      </w:r>
      <w:proofErr w:type="gramEnd"/>
      <w:r w:rsidRPr="003249D9">
        <w:rPr>
          <w:rFonts w:asciiTheme="minorHAnsi" w:hAnsiTheme="minorHAnsi"/>
        </w:rPr>
        <w:t xml:space="preserve"> nem eredményez helyi iparűzési adó fizetési kötelezettséget (a kamat természetesen a beszedése esetén adóköteles).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kinnlevőségek értékvesztése nem vonható le a helyi iparűzési adó alapjából.</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Az adókulcs </w:t>
      </w:r>
      <w:r w:rsidR="002D3AA7">
        <w:rPr>
          <w:rFonts w:asciiTheme="minorHAnsi" w:hAnsiTheme="minorHAnsi"/>
        </w:rPr>
        <w:t xml:space="preserve">felső korlátja </w:t>
      </w:r>
      <w:r w:rsidRPr="003249D9">
        <w:rPr>
          <w:rFonts w:asciiTheme="minorHAnsi" w:hAnsiTheme="minorHAnsi"/>
        </w:rPr>
        <w:t>2%. A tényleges adókulcs megállapítása annak az önkormányzatnak a hatáskörébe tartozik, amely területén a társaság gazdasági tevékenységeket végez. Az adót a kivető önkormányzat felé kell megfizetni, és a helyi iparűzési adóról szóló jogszabálynak való megfelelést az önkormányzat adóosztálya felügyeli.</w:t>
      </w:r>
    </w:p>
    <w:p w:rsidR="00BF6ACB" w:rsidRPr="003249D9" w:rsidRDefault="00AB7CFF" w:rsidP="00BF6ACB">
      <w:pPr>
        <w:pStyle w:val="TASTextheading2"/>
        <w:rPr>
          <w:rFonts w:asciiTheme="minorHAnsi" w:hAnsiTheme="minorHAnsi"/>
        </w:rPr>
      </w:pPr>
      <w:r w:rsidRPr="003249D9">
        <w:rPr>
          <w:rFonts w:asciiTheme="minorHAnsi" w:hAnsiTheme="minorHAnsi"/>
        </w:rPr>
        <w:t xml:space="preserve">Innovációs </w:t>
      </w:r>
      <w:r w:rsidR="002D3AA7">
        <w:rPr>
          <w:rFonts w:asciiTheme="minorHAnsi" w:hAnsiTheme="minorHAnsi"/>
        </w:rPr>
        <w:t>járulék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Az innovációs </w:t>
      </w:r>
      <w:r w:rsidR="002D3AA7">
        <w:rPr>
          <w:rFonts w:asciiTheme="minorHAnsi" w:hAnsiTheme="minorHAnsi"/>
        </w:rPr>
        <w:t xml:space="preserve">járulék </w:t>
      </w:r>
      <w:r w:rsidRPr="003249D9">
        <w:rPr>
          <w:rFonts w:asciiTheme="minorHAnsi" w:hAnsiTheme="minorHAnsi"/>
        </w:rPr>
        <w:t>alapja megegyezik a helyi iparűzési adó alapjával. Az adókulcs 0,3%. Az azonos adóalap ellenére ez az adónem nemzeti adónak számít, ezért az állami költségvetésbe kell beszolgáltatni.</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w:t>
      </w:r>
      <w:r w:rsidR="002D3AA7">
        <w:rPr>
          <w:rFonts w:asciiTheme="minorHAnsi" w:hAnsiTheme="minorHAnsi"/>
        </w:rPr>
        <w:t>M</w:t>
      </w:r>
      <w:r w:rsidRPr="003249D9">
        <w:rPr>
          <w:rFonts w:asciiTheme="minorHAnsi" w:hAnsiTheme="minorHAnsi"/>
        </w:rPr>
        <w:t>agyarország</w:t>
      </w:r>
      <w:r w:rsidR="002D3AA7">
        <w:rPr>
          <w:rFonts w:asciiTheme="minorHAnsi" w:hAnsiTheme="minorHAnsi"/>
        </w:rPr>
        <w:t xml:space="preserve">on </w:t>
      </w:r>
      <w:r w:rsidRPr="003249D9">
        <w:rPr>
          <w:rFonts w:asciiTheme="minorHAnsi" w:hAnsiTheme="minorHAnsi"/>
        </w:rPr>
        <w:t>fiók</w:t>
      </w:r>
      <w:r w:rsidR="002D3AA7">
        <w:rPr>
          <w:rFonts w:asciiTheme="minorHAnsi" w:hAnsiTheme="minorHAnsi"/>
        </w:rPr>
        <w:t>telep</w:t>
      </w:r>
      <w:r w:rsidRPr="003249D9">
        <w:rPr>
          <w:rFonts w:asciiTheme="minorHAnsi" w:hAnsiTheme="minorHAnsi"/>
        </w:rPr>
        <w:t>ként működő bank</w:t>
      </w:r>
      <w:r w:rsidR="002D3AA7">
        <w:rPr>
          <w:rFonts w:asciiTheme="minorHAnsi" w:hAnsiTheme="minorHAnsi"/>
        </w:rPr>
        <w:t>ok nem alanyai az innovációs járulék</w:t>
      </w:r>
      <w:r w:rsidRPr="003249D9">
        <w:rPr>
          <w:rFonts w:asciiTheme="minorHAnsi" w:hAnsiTheme="minorHAnsi"/>
        </w:rPr>
        <w:t xml:space="preserve">nak. </w:t>
      </w:r>
    </w:p>
    <w:p w:rsidR="00BF6ACB" w:rsidRPr="003249D9" w:rsidRDefault="00AB7CFF" w:rsidP="00BF6ACB">
      <w:pPr>
        <w:pStyle w:val="TASTextheading2"/>
        <w:rPr>
          <w:rFonts w:asciiTheme="minorHAnsi" w:hAnsiTheme="minorHAnsi"/>
        </w:rPr>
      </w:pPr>
      <w:r w:rsidRPr="003249D9">
        <w:rPr>
          <w:rFonts w:asciiTheme="minorHAnsi" w:hAnsiTheme="minorHAnsi"/>
        </w:rPr>
        <w:t>Bankadó</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bankokra egy speciális adónem vonatkozik, amelyet a pénz</w:t>
      </w:r>
      <w:r w:rsidR="002D3AA7">
        <w:rPr>
          <w:rFonts w:asciiTheme="minorHAnsi" w:hAnsiTheme="minorHAnsi"/>
        </w:rPr>
        <w:t xml:space="preserve">ügyi szervezetek </w:t>
      </w:r>
      <w:r w:rsidRPr="003249D9">
        <w:rPr>
          <w:rFonts w:asciiTheme="minorHAnsi" w:hAnsiTheme="minorHAnsi"/>
        </w:rPr>
        <w:t xml:space="preserve">különadójának (vagyis „bankadónak”) neveznek.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bankokat 2010 óta kötelezik a bankadó megfizetésére, melyet minden évben a 2009-es igazított mérlegfőösszeg alapján számítanak ki, vagyis az adókötelezettség összege minden évben azonos. Az adókulcs 0,15% 50 milliárd forint adóalapig, és 0,53% az e feletti részre.</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Voltak példák arra, amikor a kormány a bankadóra adókedvezményt biztosított a magyarországi devizahitelek válságának megoldása érdekében (a veszteségek 30%-át adókedvezmény formájában elengedték).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bankadó szabályai várhatóan változni fognak, mivel a 2015-ös adóalapnak a 2009-es pénzügyi számadatai alapján történő megállapítása nem lenne praktikus és felmerülne az ésszerűség kérdése is.</w:t>
      </w:r>
    </w:p>
    <w:p w:rsidR="00BF6ACB" w:rsidRPr="003249D9" w:rsidRDefault="00AB7CFF" w:rsidP="00BF6ACB">
      <w:pPr>
        <w:pStyle w:val="TASTextheading2"/>
        <w:rPr>
          <w:rFonts w:asciiTheme="minorHAnsi" w:hAnsiTheme="minorHAnsi"/>
        </w:rPr>
      </w:pPr>
      <w:r w:rsidRPr="003249D9">
        <w:rPr>
          <w:rFonts w:asciiTheme="minorHAnsi" w:hAnsiTheme="minorHAnsi"/>
        </w:rPr>
        <w:t xml:space="preserve">Hitelintézeti </w:t>
      </w:r>
      <w:r w:rsidR="002D3AA7">
        <w:rPr>
          <w:rFonts w:asciiTheme="minorHAnsi" w:hAnsiTheme="minorHAnsi"/>
        </w:rPr>
        <w:t>külön</w:t>
      </w:r>
      <w:r w:rsidRPr="003249D9">
        <w:rPr>
          <w:rFonts w:asciiTheme="minorHAnsi" w:hAnsiTheme="minorHAnsi"/>
        </w:rPr>
        <w:t>adó</w:t>
      </w:r>
    </w:p>
    <w:p w:rsidR="00BF6ACB" w:rsidRPr="003249D9" w:rsidRDefault="00AB7CFF" w:rsidP="009A73FD">
      <w:pPr>
        <w:pStyle w:val="TASBullet1"/>
        <w:numPr>
          <w:ilvl w:val="0"/>
          <w:numId w:val="30"/>
        </w:numPr>
        <w:rPr>
          <w:rFonts w:asciiTheme="minorHAnsi" w:hAnsiTheme="minorHAnsi"/>
        </w:rPr>
      </w:pPr>
      <w:r w:rsidRPr="003249D9">
        <w:rPr>
          <w:rFonts w:asciiTheme="minorHAnsi" w:hAnsiTheme="minorHAnsi"/>
        </w:rPr>
        <w:t>A nyeresége</w:t>
      </w:r>
      <w:r w:rsidR="002D3AA7">
        <w:rPr>
          <w:rFonts w:asciiTheme="minorHAnsi" w:hAnsiTheme="minorHAnsi"/>
        </w:rPr>
        <w:t>s</w:t>
      </w:r>
      <w:r w:rsidRPr="003249D9">
        <w:rPr>
          <w:rFonts w:asciiTheme="minorHAnsi" w:hAnsiTheme="minorHAnsi"/>
        </w:rPr>
        <w:t xml:space="preserve"> bankok 30%-os hitelintézeti </w:t>
      </w:r>
      <w:r w:rsidR="002D3AA7">
        <w:rPr>
          <w:rFonts w:asciiTheme="minorHAnsi" w:hAnsiTheme="minorHAnsi"/>
        </w:rPr>
        <w:t>külön</w:t>
      </w:r>
      <w:r w:rsidRPr="003249D9">
        <w:rPr>
          <w:rFonts w:asciiTheme="minorHAnsi" w:hAnsiTheme="minorHAnsi"/>
        </w:rPr>
        <w:t>adót fizet</w:t>
      </w:r>
      <w:r w:rsidR="002D3AA7">
        <w:rPr>
          <w:rFonts w:asciiTheme="minorHAnsi" w:hAnsiTheme="minorHAnsi"/>
        </w:rPr>
        <w:t>nek</w:t>
      </w:r>
      <w:r w:rsidRPr="003249D9">
        <w:rPr>
          <w:rFonts w:asciiTheme="minorHAnsi" w:hAnsiTheme="minorHAnsi"/>
        </w:rPr>
        <w:t xml:space="preserve"> </w:t>
      </w:r>
      <w:r w:rsidR="002D3AA7">
        <w:rPr>
          <w:rFonts w:asciiTheme="minorHAnsi" w:hAnsiTheme="minorHAnsi"/>
        </w:rPr>
        <w:t xml:space="preserve">nyereségük </w:t>
      </w:r>
      <w:r w:rsidRPr="003249D9">
        <w:rPr>
          <w:rFonts w:asciiTheme="minorHAnsi" w:hAnsiTheme="minorHAnsi"/>
        </w:rPr>
        <w:t>után, amelyet teljes mértékben leírhat</w:t>
      </w:r>
      <w:r w:rsidR="002D3AA7">
        <w:rPr>
          <w:rFonts w:asciiTheme="minorHAnsi" w:hAnsiTheme="minorHAnsi"/>
        </w:rPr>
        <w:t>nak</w:t>
      </w:r>
      <w:r w:rsidRPr="003249D9">
        <w:rPr>
          <w:rFonts w:asciiTheme="minorHAnsi" w:hAnsiTheme="minorHAnsi"/>
        </w:rPr>
        <w:t xml:space="preserve"> a bankadóból. A hitelintézetek különadójának felső összeghatára a kiszámított bankadó, mintha a hitelintézetek különadója nem is lenne alkalmazandó. A hitelintézetek különadójának bevezetésével a jogszabály célja tulajdonképpen, hogy a bankadót egy jövedel</w:t>
      </w:r>
      <w:r w:rsidR="002D3AA7">
        <w:rPr>
          <w:rFonts w:asciiTheme="minorHAnsi" w:hAnsiTheme="minorHAnsi"/>
        </w:rPr>
        <w:t>em</w:t>
      </w:r>
      <w:r w:rsidRPr="003249D9">
        <w:rPr>
          <w:rFonts w:asciiTheme="minorHAnsi" w:hAnsiTheme="minorHAnsi"/>
        </w:rPr>
        <w:t>adóval váltsa ki, ez az adó azonban nincs hatással a bankok teljes adóterhére.</w:t>
      </w:r>
    </w:p>
    <w:p w:rsidR="00BF6ACB" w:rsidRPr="003249D9" w:rsidRDefault="002D3AA7" w:rsidP="00BF6ACB">
      <w:pPr>
        <w:pStyle w:val="TASTextheading2"/>
        <w:rPr>
          <w:rFonts w:asciiTheme="minorHAnsi" w:hAnsiTheme="minorHAnsi"/>
        </w:rPr>
      </w:pPr>
      <w:r>
        <w:rPr>
          <w:rFonts w:asciiTheme="minorHAnsi" w:hAnsiTheme="minorHAnsi"/>
        </w:rPr>
        <w:t>Pénzügyi tranzakciós illeték</w:t>
      </w:r>
      <w:r w:rsidR="00AB7CFF" w:rsidRPr="003249D9">
        <w:rPr>
          <w:rFonts w:asciiTheme="minorHAnsi" w:hAnsiTheme="minorHAnsi"/>
        </w:rPr>
        <w:t xml:space="preserve">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bankok pénzügyi tranzakciós </w:t>
      </w:r>
      <w:r w:rsidR="002D3AA7">
        <w:rPr>
          <w:rFonts w:asciiTheme="minorHAnsi" w:hAnsiTheme="minorHAnsi"/>
        </w:rPr>
        <w:t>illeték</w:t>
      </w:r>
      <w:r w:rsidRPr="003249D9">
        <w:rPr>
          <w:rFonts w:asciiTheme="minorHAnsi" w:hAnsiTheme="minorHAnsi"/>
        </w:rPr>
        <w:t xml:space="preserve"> (FTT) alanyai is.</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Az FTT a bankszámlák terhelési tranzakciói után fizetendő. Az adókulcs 0,3%, felső összeghatára pedig 6000 forint a készpénzfelvételek kivételével, amelyek esetén az adókulcs 0,6% felső összeghatár nélkül.</w:t>
      </w:r>
    </w:p>
    <w:p w:rsidR="00BF6ACB" w:rsidRPr="003249D9" w:rsidRDefault="00AB7CFF" w:rsidP="00BF6ACB">
      <w:pPr>
        <w:pStyle w:val="TASTextheading2"/>
        <w:rPr>
          <w:rFonts w:asciiTheme="minorHAnsi" w:hAnsiTheme="minorHAnsi"/>
        </w:rPr>
      </w:pPr>
      <w:r w:rsidRPr="003249D9">
        <w:rPr>
          <w:rFonts w:asciiTheme="minorHAnsi" w:hAnsiTheme="minorHAnsi"/>
        </w:rPr>
        <w:t>ÁFA</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pénzügyi szolgáltatások jellemzően </w:t>
      </w:r>
      <w:proofErr w:type="spellStart"/>
      <w:r w:rsidRPr="003249D9">
        <w:rPr>
          <w:rFonts w:asciiTheme="minorHAnsi" w:hAnsiTheme="minorHAnsi"/>
        </w:rPr>
        <w:t>ÁFA-mentesek</w:t>
      </w:r>
      <w:proofErr w:type="spellEnd"/>
      <w:r w:rsidRPr="003249D9">
        <w:rPr>
          <w:rFonts w:asciiTheme="minorHAnsi" w:hAnsiTheme="minorHAnsi"/>
        </w:rPr>
        <w:t xml:space="preserve">. A bankok általánosságban a beszerzéseik előzetesen felszámított </w:t>
      </w:r>
      <w:proofErr w:type="spellStart"/>
      <w:r w:rsidRPr="003249D9">
        <w:rPr>
          <w:rFonts w:asciiTheme="minorHAnsi" w:hAnsiTheme="minorHAnsi"/>
        </w:rPr>
        <w:t>ÁFÁ-ját</w:t>
      </w:r>
      <w:proofErr w:type="spellEnd"/>
      <w:r w:rsidRPr="003249D9">
        <w:rPr>
          <w:rFonts w:asciiTheme="minorHAnsi" w:hAnsiTheme="minorHAnsi"/>
        </w:rPr>
        <w:t xml:space="preserve"> olyan mértékben vonhatják le, amennyire a beszerzések </w:t>
      </w:r>
      <w:proofErr w:type="spellStart"/>
      <w:r w:rsidRPr="003249D9">
        <w:rPr>
          <w:rFonts w:asciiTheme="minorHAnsi" w:hAnsiTheme="minorHAnsi"/>
        </w:rPr>
        <w:t>ÁFA-köteles</w:t>
      </w:r>
      <w:proofErr w:type="spellEnd"/>
      <w:r w:rsidRPr="003249D9">
        <w:rPr>
          <w:rFonts w:asciiTheme="minorHAnsi" w:hAnsiTheme="minorHAnsi"/>
        </w:rPr>
        <w:t xml:space="preserve"> tevékenységekhez kapcsolódnak.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Az ÁFA mértéke 27%.</w:t>
      </w:r>
    </w:p>
    <w:p w:rsidR="00BF6ACB" w:rsidRPr="003249D9" w:rsidRDefault="002D3AA7" w:rsidP="00BF6ACB">
      <w:pPr>
        <w:pStyle w:val="TASTextheading2"/>
        <w:rPr>
          <w:rFonts w:asciiTheme="minorHAnsi" w:hAnsiTheme="minorHAnsi"/>
        </w:rPr>
      </w:pPr>
      <w:r>
        <w:rPr>
          <w:rFonts w:asciiTheme="minorHAnsi" w:hAnsiTheme="minorHAnsi"/>
        </w:rPr>
        <w:t>Visszterhes vagyonátruházási illeték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Az ingatlanok átvételére </w:t>
      </w:r>
      <w:r w:rsidR="002D3AA7">
        <w:rPr>
          <w:rFonts w:asciiTheme="minorHAnsi" w:hAnsiTheme="minorHAnsi"/>
        </w:rPr>
        <w:t xml:space="preserve">visszterhes vagyonátruházási illetéket </w:t>
      </w:r>
      <w:r w:rsidRPr="003249D9">
        <w:rPr>
          <w:rFonts w:asciiTheme="minorHAnsi" w:hAnsiTheme="minorHAnsi"/>
        </w:rPr>
        <w:t>kell fizetni. A</w:t>
      </w:r>
      <w:r w:rsidR="002D3AA7">
        <w:rPr>
          <w:rFonts w:asciiTheme="minorHAnsi" w:hAnsiTheme="minorHAnsi"/>
        </w:rPr>
        <w:t xml:space="preserve"> visszterhes vagyonátruházási illetéket</w:t>
      </w:r>
      <w:r w:rsidR="002D3AA7" w:rsidRPr="003249D9">
        <w:rPr>
          <w:rFonts w:asciiTheme="minorHAnsi" w:hAnsiTheme="minorHAnsi"/>
        </w:rPr>
        <w:t xml:space="preserve"> </w:t>
      </w:r>
      <w:r w:rsidRPr="003249D9">
        <w:rPr>
          <w:rFonts w:asciiTheme="minorHAnsi" w:hAnsiTheme="minorHAnsi"/>
        </w:rPr>
        <w:t>a vevő fizeti meg az alábbiak szerint:</w:t>
      </w:r>
    </w:p>
    <w:p w:rsidR="00BF6ACB" w:rsidRPr="003249D9" w:rsidRDefault="00AB7CFF" w:rsidP="009A73FD">
      <w:pPr>
        <w:pStyle w:val="TASBullet2"/>
        <w:numPr>
          <w:ilvl w:val="1"/>
          <w:numId w:val="32"/>
        </w:numPr>
        <w:rPr>
          <w:rFonts w:asciiTheme="minorHAnsi" w:hAnsiTheme="minorHAnsi"/>
        </w:rPr>
      </w:pPr>
      <w:r w:rsidRPr="003249D9">
        <w:rPr>
          <w:rFonts w:asciiTheme="minorHAnsi" w:hAnsiTheme="minorHAnsi"/>
        </w:rPr>
        <w:t xml:space="preserve">A </w:t>
      </w:r>
      <w:r w:rsidR="002D3AA7">
        <w:rPr>
          <w:rFonts w:asciiTheme="minorHAnsi" w:hAnsiTheme="minorHAnsi"/>
        </w:rPr>
        <w:t>visszterhes vagyonátruházási illeték</w:t>
      </w:r>
      <w:r w:rsidR="002D3AA7" w:rsidRPr="003249D9">
        <w:rPr>
          <w:rFonts w:asciiTheme="minorHAnsi" w:hAnsiTheme="minorHAnsi"/>
        </w:rPr>
        <w:t xml:space="preserve"> </w:t>
      </w:r>
      <w:r w:rsidRPr="003249D9">
        <w:rPr>
          <w:rFonts w:asciiTheme="minorHAnsi" w:hAnsiTheme="minorHAnsi"/>
        </w:rPr>
        <w:t xml:space="preserve">általában 4% az ingatlan piaci értékének 1 milliárd forintjáig, és 2% az e feletti részre, felső határa azonban ingatlanonként 200 millió forint. </w:t>
      </w:r>
    </w:p>
    <w:p w:rsidR="00BF6ACB" w:rsidRPr="003249D9" w:rsidRDefault="00AB7CFF" w:rsidP="009A73FD">
      <w:pPr>
        <w:pStyle w:val="TASBullet2"/>
        <w:numPr>
          <w:ilvl w:val="1"/>
          <w:numId w:val="32"/>
        </w:numPr>
        <w:rPr>
          <w:rFonts w:asciiTheme="minorHAnsi" w:hAnsiTheme="minorHAnsi"/>
        </w:rPr>
      </w:pPr>
      <w:r w:rsidRPr="003249D9">
        <w:rPr>
          <w:rFonts w:asciiTheme="minorHAnsi" w:hAnsiTheme="minorHAnsi"/>
        </w:rPr>
        <w:lastRenderedPageBreak/>
        <w:t xml:space="preserve">A bankok esetén ugyanakkor különleges szabályok alkalmazandók a felszámolás vagy végrehajtási eljárást követő ingatlantulajdon-szerzésre. Ebben az esetben a tulajdonszerzésre csökkentett mértékű, 2%-os </w:t>
      </w:r>
      <w:r w:rsidR="002D3AA7">
        <w:rPr>
          <w:rFonts w:asciiTheme="minorHAnsi" w:hAnsiTheme="minorHAnsi"/>
        </w:rPr>
        <w:t>visszterhes vagyonátruházási illeték</w:t>
      </w:r>
      <w:r w:rsidRPr="003249D9">
        <w:rPr>
          <w:rFonts w:asciiTheme="minorHAnsi" w:hAnsiTheme="minorHAnsi"/>
        </w:rPr>
        <w:t xml:space="preserve"> vonatkozik feltéve, hogy a bank az ingatlant három éven belül eladja. Ha az ingatlan eladására nem kerül sor e három éves időszakon belül, akkor a banknak további, 4%-os </w:t>
      </w:r>
      <w:r w:rsidR="002D3AA7">
        <w:rPr>
          <w:rFonts w:asciiTheme="minorHAnsi" w:hAnsiTheme="minorHAnsi"/>
        </w:rPr>
        <w:t xml:space="preserve">visszterhes vagyonátruházási illeték </w:t>
      </w:r>
      <w:r w:rsidRPr="003249D9">
        <w:rPr>
          <w:rFonts w:asciiTheme="minorHAnsi" w:hAnsiTheme="minorHAnsi"/>
        </w:rPr>
        <w:t>kötelezettsége keletkezik (vagyis a</w:t>
      </w:r>
      <w:r w:rsidR="002D3AA7">
        <w:rPr>
          <w:rFonts w:asciiTheme="minorHAnsi" w:hAnsiTheme="minorHAnsi"/>
        </w:rPr>
        <w:t xml:space="preserve"> visszterhes vagyonátruházási illetéket </w:t>
      </w:r>
      <w:r w:rsidRPr="003249D9">
        <w:rPr>
          <w:rFonts w:asciiTheme="minorHAnsi" w:hAnsiTheme="minorHAnsi"/>
        </w:rPr>
        <w:t>kötelezettség mindösszesen 6% lehet).</w:t>
      </w:r>
    </w:p>
    <w:p w:rsidR="00BF6ACB" w:rsidRPr="003249D9" w:rsidRDefault="00AB7CFF" w:rsidP="009A73FD">
      <w:pPr>
        <w:pStyle w:val="TASTextheading2"/>
        <w:numPr>
          <w:ilvl w:val="1"/>
          <w:numId w:val="31"/>
        </w:numPr>
        <w:rPr>
          <w:rFonts w:asciiTheme="minorHAnsi" w:hAnsiTheme="minorHAnsi"/>
        </w:rPr>
      </w:pPr>
      <w:r w:rsidRPr="003249D9">
        <w:rPr>
          <w:rFonts w:asciiTheme="minorHAnsi" w:hAnsiTheme="minorHAnsi"/>
        </w:rPr>
        <w:t xml:space="preserve">Az </w:t>
      </w:r>
      <w:proofErr w:type="spellStart"/>
      <w:r w:rsidRPr="003249D9">
        <w:rPr>
          <w:rFonts w:asciiTheme="minorHAnsi" w:hAnsiTheme="minorHAnsi"/>
        </w:rPr>
        <w:t>NPL-ek</w:t>
      </w:r>
      <w:proofErr w:type="spellEnd"/>
      <w:r w:rsidRPr="003249D9">
        <w:rPr>
          <w:rFonts w:asciiTheme="minorHAnsi" w:hAnsiTheme="minorHAnsi"/>
        </w:rPr>
        <w:t xml:space="preserve"> rendezésének lehetséges alternatíváira vonatkozó magyar adózási és számviteli szempontok</w:t>
      </w:r>
      <w:r w:rsidR="00405471">
        <w:rPr>
          <w:rFonts w:asciiTheme="minorHAnsi" w:hAnsiTheme="minorHAnsi"/>
        </w:rPr>
        <w:t xml:space="preserve">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Az alábbiakban az interjúk során a bankokkal megvitatott, az </w:t>
      </w:r>
      <w:proofErr w:type="spellStart"/>
      <w:r w:rsidRPr="003249D9">
        <w:rPr>
          <w:rFonts w:asciiTheme="minorHAnsi" w:hAnsiTheme="minorHAnsi"/>
        </w:rPr>
        <w:t>NPL-ek</w:t>
      </w:r>
      <w:proofErr w:type="spellEnd"/>
      <w:r w:rsidRPr="003249D9">
        <w:rPr>
          <w:rFonts w:asciiTheme="minorHAnsi" w:hAnsiTheme="minorHAnsi"/>
        </w:rPr>
        <w:t xml:space="preserve"> rendezésének alábbi, lehetséges alternatíváira vonatkozó magyar adózási és számviteli szempontokat foglaljuk össze</w:t>
      </w:r>
    </w:p>
    <w:p w:rsidR="00BF6ACB" w:rsidRPr="003249D9" w:rsidRDefault="00AB7CFF" w:rsidP="009A73FD">
      <w:pPr>
        <w:pStyle w:val="TASBullet2"/>
        <w:numPr>
          <w:ilvl w:val="1"/>
          <w:numId w:val="32"/>
        </w:numPr>
        <w:rPr>
          <w:rFonts w:asciiTheme="minorHAnsi" w:hAnsiTheme="minorHAnsi"/>
        </w:rPr>
      </w:pPr>
      <w:r w:rsidRPr="003249D9">
        <w:rPr>
          <w:rFonts w:asciiTheme="minorHAnsi" w:hAnsiTheme="minorHAnsi"/>
        </w:rPr>
        <w:t>a kinnlevőségek értékesítése</w:t>
      </w:r>
    </w:p>
    <w:p w:rsidR="00BF6ACB" w:rsidRPr="003249D9" w:rsidRDefault="00AB7CFF" w:rsidP="009A73FD">
      <w:pPr>
        <w:pStyle w:val="TASBullet2"/>
        <w:numPr>
          <w:ilvl w:val="1"/>
          <w:numId w:val="32"/>
        </w:numPr>
        <w:rPr>
          <w:rFonts w:asciiTheme="minorHAnsi" w:hAnsiTheme="minorHAnsi"/>
        </w:rPr>
      </w:pPr>
      <w:r w:rsidRPr="003249D9">
        <w:rPr>
          <w:rFonts w:asciiTheme="minorHAnsi" w:hAnsiTheme="minorHAnsi"/>
        </w:rPr>
        <w:t>a kinnlevőségek részleges elengedése</w:t>
      </w:r>
    </w:p>
    <w:p w:rsidR="00BF6ACB" w:rsidRPr="003249D9" w:rsidRDefault="00AB7CFF" w:rsidP="009A73FD">
      <w:pPr>
        <w:pStyle w:val="TASBullet2"/>
        <w:numPr>
          <w:ilvl w:val="1"/>
          <w:numId w:val="32"/>
        </w:numPr>
        <w:rPr>
          <w:rFonts w:asciiTheme="minorHAnsi" w:hAnsiTheme="minorHAnsi"/>
        </w:rPr>
      </w:pPr>
      <w:r w:rsidRPr="003249D9">
        <w:rPr>
          <w:rFonts w:asciiTheme="minorHAnsi" w:hAnsiTheme="minorHAnsi"/>
        </w:rPr>
        <w:t>ingatlanfedezet átvétele</w:t>
      </w:r>
    </w:p>
    <w:p w:rsidR="00BF6ACB" w:rsidRPr="003249D9" w:rsidRDefault="00AB7CFF" w:rsidP="009A73FD">
      <w:pPr>
        <w:pStyle w:val="TASBullet2"/>
        <w:numPr>
          <w:ilvl w:val="1"/>
          <w:numId w:val="32"/>
        </w:numPr>
        <w:rPr>
          <w:rFonts w:asciiTheme="minorHAnsi" w:hAnsiTheme="minorHAnsi"/>
        </w:rPr>
      </w:pPr>
      <w:r w:rsidRPr="003249D9">
        <w:rPr>
          <w:rFonts w:asciiTheme="minorHAnsi" w:hAnsiTheme="minorHAnsi"/>
        </w:rPr>
        <w:t>adósság–tőkerész csere</w:t>
      </w:r>
    </w:p>
    <w:p w:rsidR="00BF6ACB" w:rsidRPr="003249D9" w:rsidRDefault="00AB7CFF" w:rsidP="009A73FD">
      <w:pPr>
        <w:pStyle w:val="TASBullet2"/>
        <w:numPr>
          <w:ilvl w:val="1"/>
          <w:numId w:val="32"/>
        </w:numPr>
        <w:rPr>
          <w:rFonts w:asciiTheme="minorHAnsi" w:hAnsiTheme="minorHAnsi"/>
        </w:rPr>
      </w:pPr>
      <w:r w:rsidRPr="003249D9">
        <w:rPr>
          <w:rFonts w:asciiTheme="minorHAnsi" w:hAnsiTheme="minorHAnsi"/>
        </w:rPr>
        <w:t xml:space="preserve">devizaátváltás </w:t>
      </w:r>
    </w:p>
    <w:p w:rsidR="00BF6ACB" w:rsidRPr="003249D9" w:rsidRDefault="00AB7CFF" w:rsidP="009A73FD">
      <w:pPr>
        <w:pStyle w:val="TASBullet2"/>
        <w:numPr>
          <w:ilvl w:val="1"/>
          <w:numId w:val="32"/>
        </w:numPr>
        <w:rPr>
          <w:rFonts w:asciiTheme="minorHAnsi" w:hAnsiTheme="minorHAnsi"/>
        </w:rPr>
      </w:pPr>
      <w:r w:rsidRPr="003249D9">
        <w:rPr>
          <w:rFonts w:asciiTheme="minorHAnsi" w:hAnsiTheme="minorHAnsi"/>
        </w:rPr>
        <w:t>fizetés meghosszabbítása, átütemezése.</w:t>
      </w:r>
    </w:p>
    <w:p w:rsidR="00BF6ACB" w:rsidRPr="003249D9" w:rsidRDefault="00AB7CFF" w:rsidP="009A73FD">
      <w:pPr>
        <w:pStyle w:val="TASTextheading2"/>
        <w:numPr>
          <w:ilvl w:val="2"/>
          <w:numId w:val="31"/>
        </w:numPr>
        <w:rPr>
          <w:rFonts w:asciiTheme="minorHAnsi" w:hAnsiTheme="minorHAnsi"/>
        </w:rPr>
      </w:pPr>
      <w:r w:rsidRPr="003249D9">
        <w:rPr>
          <w:rFonts w:asciiTheme="minorHAnsi" w:hAnsiTheme="minorHAnsi"/>
        </w:rPr>
        <w:t>A kinnlevőségek értékesítése</w:t>
      </w:r>
    </w:p>
    <w:p w:rsidR="00BF6ACB" w:rsidRPr="003249D9" w:rsidRDefault="00AB7CFF" w:rsidP="00BF6ACB">
      <w:pPr>
        <w:pStyle w:val="TASTextheading3"/>
        <w:rPr>
          <w:rFonts w:asciiTheme="minorHAnsi" w:hAnsiTheme="minorHAnsi"/>
        </w:rPr>
      </w:pPr>
      <w:r w:rsidRPr="003249D9">
        <w:rPr>
          <w:rFonts w:asciiTheme="minorHAnsi" w:hAnsiTheme="minorHAnsi"/>
        </w:rPr>
        <w:t>Magyarországi számvitel</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bank az vételár és a kinnlevőség könyv szerinti értékének különbségéig terjedően könyvelhet el nyereséget vagy veszteséget.</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tranzakció nem érinti az adós eredményét.</w:t>
      </w:r>
    </w:p>
    <w:p w:rsidR="00BF6ACB" w:rsidRPr="003249D9" w:rsidRDefault="002D3AA7" w:rsidP="00BF6ACB">
      <w:pPr>
        <w:pStyle w:val="TASTextheading3"/>
        <w:rPr>
          <w:rFonts w:asciiTheme="minorHAnsi" w:hAnsiTheme="minorHAnsi"/>
        </w:rPr>
      </w:pPr>
      <w:r>
        <w:rPr>
          <w:rFonts w:asciiTheme="minorHAnsi" w:hAnsiTheme="minorHAnsi"/>
        </w:rPr>
        <w:t xml:space="preserve">Társasági </w:t>
      </w:r>
      <w:r w:rsidR="00AB7CFF" w:rsidRPr="003249D9">
        <w:rPr>
          <w:rFonts w:asciiTheme="minorHAnsi" w:hAnsiTheme="minorHAnsi"/>
        </w:rPr>
        <w:t>adó</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bank által, az értékesítés révén realizált nyereség után társasági adó fizetési kötelezettség keletkezik. A veszteség adott esetben adó</w:t>
      </w:r>
      <w:r w:rsidR="002D3AA7">
        <w:rPr>
          <w:rFonts w:asciiTheme="minorHAnsi" w:hAnsiTheme="minorHAnsi"/>
        </w:rPr>
        <w:t>alap</w:t>
      </w:r>
      <w:r w:rsidRPr="003249D9">
        <w:rPr>
          <w:rFonts w:asciiTheme="minorHAnsi" w:hAnsiTheme="minorHAnsi"/>
        </w:rPr>
        <w:t>ból leírható.</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Az adott adóév adóvesztesége </w:t>
      </w:r>
      <w:r w:rsidR="002D3AA7">
        <w:rPr>
          <w:rFonts w:asciiTheme="minorHAnsi" w:hAnsiTheme="minorHAnsi"/>
        </w:rPr>
        <w:t xml:space="preserve">felhasználható az adóköteles nyereség </w:t>
      </w:r>
      <w:r w:rsidRPr="003249D9">
        <w:rPr>
          <w:rFonts w:asciiTheme="minorHAnsi" w:hAnsiTheme="minorHAnsi"/>
        </w:rPr>
        <w:t>ellentételez</w:t>
      </w:r>
      <w:r w:rsidR="002D3AA7">
        <w:rPr>
          <w:rFonts w:asciiTheme="minorHAnsi" w:hAnsiTheme="minorHAnsi"/>
        </w:rPr>
        <w:t>ésére</w:t>
      </w:r>
      <w:r w:rsidRPr="003249D9">
        <w:rPr>
          <w:rFonts w:asciiTheme="minorHAnsi" w:hAnsiTheme="minorHAnsi"/>
        </w:rPr>
        <w:t>. A nyereség csak az</w:t>
      </w:r>
      <w:r w:rsidR="002D3AA7">
        <w:rPr>
          <w:rFonts w:asciiTheme="minorHAnsi" w:hAnsiTheme="minorHAnsi"/>
        </w:rPr>
        <w:t xml:space="preserve"> aktuális év társasági </w:t>
      </w:r>
      <w:r w:rsidRPr="003249D9">
        <w:rPr>
          <w:rFonts w:asciiTheme="minorHAnsi" w:hAnsiTheme="minorHAnsi"/>
        </w:rPr>
        <w:t>adó ala</w:t>
      </w:r>
      <w:r w:rsidR="00405471">
        <w:rPr>
          <w:rFonts w:asciiTheme="minorHAnsi" w:hAnsiTheme="minorHAnsi"/>
        </w:rPr>
        <w:t>pjának 50%-áig ellentételezhető</w:t>
      </w:r>
      <w:r w:rsidRPr="003249D9">
        <w:rPr>
          <w:rFonts w:asciiTheme="minorHAnsi" w:hAnsiTheme="minorHAnsi"/>
        </w:rPr>
        <w:t xml:space="preserve"> továbbvitt adóveszteséggel. </w:t>
      </w:r>
    </w:p>
    <w:p w:rsidR="00BF6ACB" w:rsidRPr="003249D9" w:rsidRDefault="00AB7CFF" w:rsidP="00BF6ACB">
      <w:pPr>
        <w:pStyle w:val="TASTextheading3"/>
        <w:rPr>
          <w:rFonts w:asciiTheme="minorHAnsi" w:hAnsiTheme="minorHAnsi"/>
        </w:rPr>
      </w:pPr>
      <w:r w:rsidRPr="003249D9">
        <w:rPr>
          <w:rFonts w:asciiTheme="minorHAnsi" w:hAnsiTheme="minorHAnsi"/>
        </w:rPr>
        <w:t xml:space="preserve">Helyi iparűzési adó / innovációs </w:t>
      </w:r>
      <w:r w:rsidR="00F72E39">
        <w:rPr>
          <w:rFonts w:asciiTheme="minorHAnsi" w:hAnsiTheme="minorHAnsi"/>
        </w:rPr>
        <w:t>járulék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tranzakció a helyi iparűzési adó / innovációs </w:t>
      </w:r>
      <w:r w:rsidR="00F72E39">
        <w:rPr>
          <w:rFonts w:asciiTheme="minorHAnsi" w:hAnsiTheme="minorHAnsi"/>
        </w:rPr>
        <w:t>járulék</w:t>
      </w:r>
      <w:r w:rsidRPr="003249D9">
        <w:rPr>
          <w:rFonts w:asciiTheme="minorHAnsi" w:hAnsiTheme="minorHAnsi"/>
        </w:rPr>
        <w:t xml:space="preserve"> szempontjából nem érintett.</w:t>
      </w:r>
    </w:p>
    <w:p w:rsidR="00BF6ACB" w:rsidRPr="003249D9" w:rsidRDefault="00AB7CFF" w:rsidP="00BF6ACB">
      <w:pPr>
        <w:pStyle w:val="TASTextheading3"/>
        <w:rPr>
          <w:rFonts w:asciiTheme="minorHAnsi" w:hAnsiTheme="minorHAnsi"/>
        </w:rPr>
      </w:pPr>
      <w:r w:rsidRPr="003249D9">
        <w:rPr>
          <w:rFonts w:asciiTheme="minorHAnsi" w:hAnsiTheme="minorHAnsi"/>
        </w:rPr>
        <w:t>Bankadó</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tranzakció nem érinti a bank bankadó-kötelezettségét.</w:t>
      </w:r>
    </w:p>
    <w:p w:rsidR="00BF6ACB" w:rsidRPr="003249D9" w:rsidRDefault="00F72E39" w:rsidP="00BF6ACB">
      <w:pPr>
        <w:pStyle w:val="TASTextheading3"/>
        <w:rPr>
          <w:rFonts w:asciiTheme="minorHAnsi" w:hAnsiTheme="minorHAnsi"/>
        </w:rPr>
      </w:pPr>
      <w:r>
        <w:rPr>
          <w:rFonts w:asciiTheme="minorHAnsi" w:hAnsiTheme="minorHAnsi"/>
        </w:rPr>
        <w:t>Pénzügyi tranzakciós illeték</w:t>
      </w:r>
      <w:r w:rsidR="00AB7CFF" w:rsidRPr="003249D9">
        <w:rPr>
          <w:rFonts w:asciiTheme="minorHAnsi" w:hAnsiTheme="minorHAnsi"/>
        </w:rPr>
        <w:t xml:space="preserve">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tranzakció nem érinti a bank pénzügyi tranzakciós </w:t>
      </w:r>
      <w:r w:rsidR="00F72E39">
        <w:rPr>
          <w:rFonts w:asciiTheme="minorHAnsi" w:hAnsiTheme="minorHAnsi"/>
        </w:rPr>
        <w:t>illeték</w:t>
      </w:r>
      <w:r w:rsidRPr="003249D9">
        <w:rPr>
          <w:rFonts w:asciiTheme="minorHAnsi" w:hAnsiTheme="minorHAnsi"/>
        </w:rPr>
        <w:t xml:space="preserve"> szerinti kötelezettségét.</w:t>
      </w:r>
    </w:p>
    <w:p w:rsidR="00BF6ACB" w:rsidRPr="003249D9" w:rsidRDefault="00AB7CFF" w:rsidP="00BF6ACB">
      <w:pPr>
        <w:pStyle w:val="TASTextheading3"/>
        <w:rPr>
          <w:rFonts w:asciiTheme="minorHAnsi" w:hAnsiTheme="minorHAnsi"/>
        </w:rPr>
      </w:pPr>
      <w:r w:rsidRPr="003249D9">
        <w:rPr>
          <w:rFonts w:asciiTheme="minorHAnsi" w:hAnsiTheme="minorHAnsi"/>
        </w:rPr>
        <w:t>ÁFA</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kinnlevőség vételárát a bank által, a vevő számára nyújtott </w:t>
      </w:r>
      <w:proofErr w:type="spellStart"/>
      <w:r w:rsidRPr="003249D9">
        <w:rPr>
          <w:rFonts w:asciiTheme="minorHAnsi" w:hAnsiTheme="minorHAnsi"/>
        </w:rPr>
        <w:t>ÁFA-mentes</w:t>
      </w:r>
      <w:proofErr w:type="spellEnd"/>
      <w:r w:rsidRPr="003249D9">
        <w:rPr>
          <w:rFonts w:asciiTheme="minorHAnsi" w:hAnsiTheme="minorHAnsi"/>
        </w:rPr>
        <w:t xml:space="preserve"> szolgáltatásként veszik figyelembe, </w:t>
      </w:r>
      <w:proofErr w:type="gramStart"/>
      <w:r w:rsidRPr="003249D9">
        <w:rPr>
          <w:rFonts w:asciiTheme="minorHAnsi" w:hAnsiTheme="minorHAnsi"/>
        </w:rPr>
        <w:t>ennélfogva</w:t>
      </w:r>
      <w:proofErr w:type="gramEnd"/>
      <w:r w:rsidRPr="003249D9">
        <w:rPr>
          <w:rFonts w:asciiTheme="minorHAnsi" w:hAnsiTheme="minorHAnsi"/>
        </w:rPr>
        <w:t xml:space="preserve"> az ronthatja a bank ÁFA</w:t>
      </w:r>
      <w:r w:rsidR="00F72E39">
        <w:rPr>
          <w:rFonts w:asciiTheme="minorHAnsi" w:hAnsiTheme="minorHAnsi"/>
        </w:rPr>
        <w:t xml:space="preserve"> levonási hányadát</w:t>
      </w:r>
      <w:r w:rsidRPr="003249D9">
        <w:rPr>
          <w:rFonts w:asciiTheme="minorHAnsi" w:hAnsiTheme="minorHAnsi"/>
        </w:rPr>
        <w:t xml:space="preserve"> (ha van).</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Azokban az esetekben, amikor az NPL vevője egy magyar társaságot bíz meg az </w:t>
      </w:r>
      <w:proofErr w:type="spellStart"/>
      <w:r w:rsidRPr="003249D9">
        <w:rPr>
          <w:rFonts w:asciiTheme="minorHAnsi" w:hAnsiTheme="minorHAnsi"/>
        </w:rPr>
        <w:t>NPL-ek</w:t>
      </w:r>
      <w:proofErr w:type="spellEnd"/>
      <w:r w:rsidRPr="003249D9">
        <w:rPr>
          <w:rFonts w:asciiTheme="minorHAnsi" w:hAnsiTheme="minorHAnsi"/>
        </w:rPr>
        <w:t xml:space="preserve"> kezelésével és begyűjtésével, bizonytalan a fizetendő díj ÁFA szempontjából való kezelése. Általában a begyűjtési tevékenységgel összefüggő ellenszolgáltatás </w:t>
      </w:r>
      <w:proofErr w:type="spellStart"/>
      <w:r w:rsidRPr="003249D9">
        <w:rPr>
          <w:rFonts w:asciiTheme="minorHAnsi" w:hAnsiTheme="minorHAnsi"/>
        </w:rPr>
        <w:t>ÁFA-köteles</w:t>
      </w:r>
      <w:proofErr w:type="spellEnd"/>
      <w:r w:rsidRPr="003249D9">
        <w:rPr>
          <w:rFonts w:asciiTheme="minorHAnsi" w:hAnsiTheme="minorHAnsi"/>
        </w:rPr>
        <w:t xml:space="preserve">, míg a kinnlevőség kezeléséhez kapcsolódó ellenszolgáltatás egyes esetekben </w:t>
      </w:r>
      <w:proofErr w:type="spellStart"/>
      <w:r w:rsidRPr="003249D9">
        <w:rPr>
          <w:rFonts w:asciiTheme="minorHAnsi" w:hAnsiTheme="minorHAnsi"/>
        </w:rPr>
        <w:t>ÁFA-mentes</w:t>
      </w:r>
      <w:proofErr w:type="spellEnd"/>
      <w:r w:rsidRPr="003249D9">
        <w:rPr>
          <w:rFonts w:asciiTheme="minorHAnsi" w:hAnsiTheme="minorHAnsi"/>
        </w:rPr>
        <w:t xml:space="preserve"> lehet.</w:t>
      </w:r>
    </w:p>
    <w:p w:rsidR="00BF6ACB" w:rsidRPr="003249D9" w:rsidRDefault="00AB7CFF" w:rsidP="009A73FD">
      <w:pPr>
        <w:pStyle w:val="TASTextheading2"/>
        <w:numPr>
          <w:ilvl w:val="2"/>
          <w:numId w:val="31"/>
        </w:numPr>
        <w:rPr>
          <w:rFonts w:asciiTheme="minorHAnsi" w:hAnsiTheme="minorHAnsi"/>
        </w:rPr>
      </w:pPr>
      <w:r w:rsidRPr="003249D9">
        <w:rPr>
          <w:rFonts w:asciiTheme="minorHAnsi" w:hAnsiTheme="minorHAnsi"/>
        </w:rPr>
        <w:t xml:space="preserve">A kinnlevőségek részleges elengedése </w:t>
      </w:r>
    </w:p>
    <w:p w:rsidR="00BF6ACB" w:rsidRPr="003249D9" w:rsidRDefault="00AB7CFF" w:rsidP="00BF6ACB">
      <w:pPr>
        <w:pStyle w:val="TASTextheading3"/>
        <w:rPr>
          <w:rFonts w:asciiTheme="minorHAnsi" w:hAnsiTheme="minorHAnsi"/>
        </w:rPr>
      </w:pPr>
      <w:r w:rsidRPr="003249D9">
        <w:rPr>
          <w:rFonts w:asciiTheme="minorHAnsi" w:hAnsiTheme="minorHAnsi"/>
        </w:rPr>
        <w:t>Magyarországi számvitel</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Ha az elengedett összeg meghaladja a bank könyveiben jegyzett értékvesztést, akkor a bank a különbséget a könyvelésében </w:t>
      </w:r>
      <w:r w:rsidR="00F72E39">
        <w:rPr>
          <w:rFonts w:asciiTheme="minorHAnsi" w:hAnsiTheme="minorHAnsi"/>
        </w:rPr>
        <w:t>ráfordításként</w:t>
      </w:r>
      <w:r w:rsidRPr="003249D9">
        <w:rPr>
          <w:rFonts w:asciiTheme="minorHAnsi" w:hAnsiTheme="minorHAnsi"/>
        </w:rPr>
        <w:t xml:space="preserve"> tünteti fel. Az adós a könyveiből kivezetett kötelezettség összegéig terjedő bevételt könyvel el.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lastRenderedPageBreak/>
        <w:t>A számviteli törvény alapján, ha a kinnlevőségek megvásárolt eszközökhöz kapcsolódnak, akkor az adós/hitelfelvevő által könyvelt bevételt halasztani kell. A halasztást a vonatkozó eszközök könyvelt amortizációja arányában, illetve az eszközök rendelkezésre állítása időpontjában kell feloldani.</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kamat elengedése nem fejt ki hatást az eredményre, mivel – a korábban tárgyaltaknak megfelelően – a rossz kinnlevőségekre felszámított, kifizetetlen kamat nem jelenik meg az </w:t>
      </w:r>
      <w:proofErr w:type="spellStart"/>
      <w:r w:rsidRPr="003249D9">
        <w:rPr>
          <w:rFonts w:asciiTheme="minorHAnsi" w:hAnsiTheme="minorHAnsi"/>
        </w:rPr>
        <w:t>eredménykimutatásban</w:t>
      </w:r>
      <w:proofErr w:type="spellEnd"/>
      <w:r w:rsidRPr="003249D9">
        <w:rPr>
          <w:rFonts w:asciiTheme="minorHAnsi" w:hAnsiTheme="minorHAnsi"/>
        </w:rPr>
        <w:t>.</w:t>
      </w:r>
    </w:p>
    <w:p w:rsidR="00BF6ACB" w:rsidRPr="003249D9" w:rsidRDefault="00AB7CFF" w:rsidP="00BF6ACB">
      <w:pPr>
        <w:pStyle w:val="TASTextheading3"/>
        <w:rPr>
          <w:rFonts w:asciiTheme="minorHAnsi" w:hAnsiTheme="minorHAnsi"/>
        </w:rPr>
      </w:pPr>
      <w:r w:rsidRPr="003249D9">
        <w:rPr>
          <w:rFonts w:asciiTheme="minorHAnsi" w:hAnsiTheme="minorHAnsi"/>
        </w:rPr>
        <w:t>Társasági adó</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kinnlevőségek részleges elengedésére elkönyvelt kiadásokat a bank általában levonhatja társasági adója alapjából.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Az adós által könyvelt nyereségre 10%-os/19%-os társasági adó vonatkozik. Amennyiben a nyereséget azért kell halasztani, mert a kinnlevőségek megvásárolt eszközökhöz kapcsolódnak, akkor csak az adott időszakban, a korábbi halasztások feloldása eredményeként könyvelt nyereség adóköteles.</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Az adott adóév adóveszteségét az adós a bank könyvelésébe vett, a kinnlevőségek részleges elengedése következtében könyvelt nyereséggel ellentételezheti. A továbbvitt adóveszteségek csak az adóalap 50%-ig használhatók </w:t>
      </w:r>
      <w:r w:rsidR="00F72E39">
        <w:rPr>
          <w:rFonts w:asciiTheme="minorHAnsi" w:hAnsiTheme="minorHAnsi"/>
        </w:rPr>
        <w:t>fel</w:t>
      </w:r>
      <w:r w:rsidRPr="003249D9">
        <w:rPr>
          <w:rFonts w:asciiTheme="minorHAnsi" w:hAnsiTheme="minorHAnsi"/>
        </w:rPr>
        <w:t>. Különleges adókedvezményként az adós a továbbvitt adóveszteségekkel teljes mértékben ellentételezheti a felszámolási- vagy csődeljárásban a bíróság által jóváhagyott csődegyezség révén elengedett kinnlevőségekből származó bevételét.</w:t>
      </w:r>
    </w:p>
    <w:p w:rsidR="00BF6ACB" w:rsidRPr="003249D9" w:rsidRDefault="00AB7CFF" w:rsidP="00BF6ACB">
      <w:pPr>
        <w:pStyle w:val="TASTextheading3"/>
        <w:rPr>
          <w:rFonts w:asciiTheme="minorHAnsi" w:hAnsiTheme="minorHAnsi"/>
        </w:rPr>
      </w:pPr>
      <w:r w:rsidRPr="003249D9">
        <w:rPr>
          <w:rFonts w:asciiTheme="minorHAnsi" w:hAnsiTheme="minorHAnsi"/>
        </w:rPr>
        <w:t>Hely</w:t>
      </w:r>
      <w:r w:rsidR="00F72E39">
        <w:rPr>
          <w:rFonts w:asciiTheme="minorHAnsi" w:hAnsiTheme="minorHAnsi"/>
        </w:rPr>
        <w:t>i iparűzési adó / innovációs járulék</w:t>
      </w:r>
      <w:r w:rsidRPr="003249D9">
        <w:rPr>
          <w:rFonts w:asciiTheme="minorHAnsi" w:hAnsiTheme="minorHAnsi"/>
        </w:rPr>
        <w:t xml:space="preserve">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kinnlevőségek elengedésére elkönyvelt </w:t>
      </w:r>
      <w:r w:rsidR="00F72E39">
        <w:rPr>
          <w:rFonts w:asciiTheme="minorHAnsi" w:hAnsiTheme="minorHAnsi"/>
        </w:rPr>
        <w:t>ráfordítá</w:t>
      </w:r>
      <w:r w:rsidRPr="003249D9">
        <w:rPr>
          <w:rFonts w:asciiTheme="minorHAnsi" w:hAnsiTheme="minorHAnsi"/>
        </w:rPr>
        <w:t xml:space="preserve">sokat a bank nem vonhatja le a helyi iparűzési adó / innovációs </w:t>
      </w:r>
      <w:r w:rsidR="00C24B83">
        <w:rPr>
          <w:rFonts w:asciiTheme="minorHAnsi" w:hAnsiTheme="minorHAnsi"/>
        </w:rPr>
        <w:t>járulék</w:t>
      </w:r>
      <w:r w:rsidRPr="003249D9">
        <w:rPr>
          <w:rFonts w:asciiTheme="minorHAnsi" w:hAnsiTheme="minorHAnsi"/>
        </w:rPr>
        <w:t xml:space="preserve"> alapjából.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Az adós által könyvelt nyereség nem adóköteles.</w:t>
      </w:r>
    </w:p>
    <w:p w:rsidR="00BF6ACB" w:rsidRPr="003249D9" w:rsidRDefault="00AB7CFF" w:rsidP="00BF6ACB">
      <w:pPr>
        <w:pStyle w:val="TASTextheading3"/>
        <w:rPr>
          <w:rFonts w:asciiTheme="minorHAnsi" w:hAnsiTheme="minorHAnsi"/>
        </w:rPr>
      </w:pPr>
      <w:r w:rsidRPr="003249D9">
        <w:rPr>
          <w:rFonts w:asciiTheme="minorHAnsi" w:hAnsiTheme="minorHAnsi"/>
        </w:rPr>
        <w:t>Bankadó</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tranzakció nem érinti a bank bankadó-kötelezettségét.</w:t>
      </w:r>
    </w:p>
    <w:p w:rsidR="00BF6ACB" w:rsidRPr="003249D9" w:rsidRDefault="00C24B83" w:rsidP="00BF6ACB">
      <w:pPr>
        <w:pStyle w:val="TASTextheading3"/>
        <w:rPr>
          <w:rFonts w:asciiTheme="minorHAnsi" w:hAnsiTheme="minorHAnsi"/>
        </w:rPr>
      </w:pPr>
      <w:r>
        <w:rPr>
          <w:rFonts w:asciiTheme="minorHAnsi" w:hAnsiTheme="minorHAnsi"/>
        </w:rPr>
        <w:t>Pénzügyi tranzakciós illeték</w:t>
      </w:r>
      <w:r w:rsidR="00AB7CFF" w:rsidRPr="003249D9">
        <w:rPr>
          <w:rFonts w:asciiTheme="minorHAnsi" w:hAnsiTheme="minorHAnsi"/>
        </w:rPr>
        <w:t xml:space="preserve">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tranzakció nem érinti a bank pénzügyi tranzakciós </w:t>
      </w:r>
      <w:r w:rsidR="00C24B83">
        <w:rPr>
          <w:rFonts w:asciiTheme="minorHAnsi" w:hAnsiTheme="minorHAnsi"/>
        </w:rPr>
        <w:t>illeték</w:t>
      </w:r>
      <w:r w:rsidRPr="003249D9">
        <w:rPr>
          <w:rFonts w:asciiTheme="minorHAnsi" w:hAnsiTheme="minorHAnsi"/>
        </w:rPr>
        <w:t xml:space="preserve"> szerinti kötelezettségét.</w:t>
      </w:r>
    </w:p>
    <w:p w:rsidR="00BF6ACB" w:rsidRPr="003249D9" w:rsidRDefault="00AB7CFF" w:rsidP="00BF6ACB">
      <w:pPr>
        <w:pStyle w:val="TASTextheading3"/>
        <w:rPr>
          <w:rFonts w:asciiTheme="minorHAnsi" w:hAnsiTheme="minorHAnsi"/>
        </w:rPr>
      </w:pPr>
      <w:r w:rsidRPr="003249D9">
        <w:rPr>
          <w:rFonts w:asciiTheme="minorHAnsi" w:hAnsiTheme="minorHAnsi"/>
        </w:rPr>
        <w:t>ÁFA</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tranzakció ÁFA szempontjából semleges, illetve nincs hatással a bank ÁFA</w:t>
      </w:r>
      <w:r w:rsidR="00C24B83">
        <w:rPr>
          <w:rFonts w:asciiTheme="minorHAnsi" w:hAnsiTheme="minorHAnsi"/>
        </w:rPr>
        <w:t xml:space="preserve"> levonási </w:t>
      </w:r>
      <w:r w:rsidRPr="003249D9">
        <w:rPr>
          <w:rFonts w:asciiTheme="minorHAnsi" w:hAnsiTheme="minorHAnsi"/>
        </w:rPr>
        <w:t>pozíciójára.</w:t>
      </w:r>
    </w:p>
    <w:p w:rsidR="00BF6ACB" w:rsidRPr="003249D9" w:rsidRDefault="00AB7CFF" w:rsidP="009A73FD">
      <w:pPr>
        <w:pStyle w:val="TASTextheading2"/>
        <w:numPr>
          <w:ilvl w:val="2"/>
          <w:numId w:val="31"/>
        </w:numPr>
        <w:rPr>
          <w:rFonts w:asciiTheme="minorHAnsi" w:hAnsiTheme="minorHAnsi"/>
        </w:rPr>
      </w:pPr>
      <w:r w:rsidRPr="003249D9">
        <w:rPr>
          <w:rFonts w:asciiTheme="minorHAnsi" w:hAnsiTheme="minorHAnsi"/>
        </w:rPr>
        <w:t>Ingatlanfedezet átvétele</w:t>
      </w:r>
    </w:p>
    <w:p w:rsidR="00BF6ACB" w:rsidRPr="003249D9" w:rsidRDefault="00AB7CFF" w:rsidP="00BF6ACB">
      <w:pPr>
        <w:pStyle w:val="TASTextheading3"/>
        <w:rPr>
          <w:rFonts w:asciiTheme="minorHAnsi" w:hAnsiTheme="minorHAnsi"/>
        </w:rPr>
      </w:pPr>
      <w:r w:rsidRPr="003249D9">
        <w:rPr>
          <w:rFonts w:asciiTheme="minorHAnsi" w:hAnsiTheme="minorHAnsi"/>
        </w:rPr>
        <w:t>Magyarországi számvitel</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Az átvétel céljából azt az értéket, amellyel a kinnlevőség összegét jog</w:t>
      </w:r>
      <w:r w:rsidR="00C24B83">
        <w:rPr>
          <w:rFonts w:asciiTheme="minorHAnsi" w:hAnsiTheme="minorHAnsi"/>
        </w:rPr>
        <w:t>ilag</w:t>
      </w:r>
      <w:r w:rsidRPr="003249D9">
        <w:rPr>
          <w:rFonts w:asciiTheme="minorHAnsi" w:hAnsiTheme="minorHAnsi"/>
        </w:rPr>
        <w:t xml:space="preserve"> csökkentik meg kell állapítani („átruházási érték”).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könyvelésben nyereség tüntethető fel, ha az átruházási érték meghaladja a bank könyvelésében szereplő kinnlevőségek nettó könyv szerinti értékét.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Az adós az ingatlan átruházási értékét bevételként könyveli el. Az ingatlan elszámolási könyv szerinti értékét az adós </w:t>
      </w:r>
      <w:r w:rsidR="0021273A">
        <w:rPr>
          <w:rFonts w:asciiTheme="minorHAnsi" w:hAnsiTheme="minorHAnsi"/>
        </w:rPr>
        <w:t>ráfordít</w:t>
      </w:r>
      <w:r w:rsidRPr="003249D9">
        <w:rPr>
          <w:rFonts w:asciiTheme="minorHAnsi" w:hAnsiTheme="minorHAnsi"/>
        </w:rPr>
        <w:t>ásként könyveli el.</w:t>
      </w:r>
    </w:p>
    <w:p w:rsidR="00BF6ACB" w:rsidRPr="003249D9" w:rsidRDefault="00AB7CFF" w:rsidP="00BF6ACB">
      <w:pPr>
        <w:pStyle w:val="TASTextheading3"/>
        <w:rPr>
          <w:rFonts w:asciiTheme="minorHAnsi" w:hAnsiTheme="minorHAnsi"/>
        </w:rPr>
      </w:pPr>
      <w:r w:rsidRPr="003249D9">
        <w:rPr>
          <w:rFonts w:asciiTheme="minorHAnsi" w:hAnsiTheme="minorHAnsi"/>
        </w:rPr>
        <w:t>Társasági adó</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bank által, az ingatlan átvételével realizált nyereség (ha van) a </w:t>
      </w:r>
      <w:r w:rsidR="0021273A">
        <w:rPr>
          <w:rFonts w:asciiTheme="minorHAnsi" w:hAnsiTheme="minorHAnsi"/>
        </w:rPr>
        <w:t xml:space="preserve">bank oldalán társasági </w:t>
      </w:r>
      <w:r w:rsidRPr="003249D9">
        <w:rPr>
          <w:rFonts w:asciiTheme="minorHAnsi" w:hAnsiTheme="minorHAnsi"/>
        </w:rPr>
        <w:t>adó fizetési kötelezettséget eredményez.</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Az átruházási érték és az adó könyv szerinti értékének pozitív/negatív előjelű különbsége adóköteles/adó</w:t>
      </w:r>
      <w:r w:rsidR="0021273A">
        <w:rPr>
          <w:rFonts w:asciiTheme="minorHAnsi" w:hAnsiTheme="minorHAnsi"/>
        </w:rPr>
        <w:t>alap</w:t>
      </w:r>
      <w:r w:rsidRPr="003249D9">
        <w:rPr>
          <w:rFonts w:asciiTheme="minorHAnsi" w:hAnsiTheme="minorHAnsi"/>
        </w:rPr>
        <w:t>ból leírható az adós oldalán (a tranzakcióból nyereség vagy veszteség elkönyvelésétől függetlenül).</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Az adott adóév adóveszteségével a banknak, az ingatlan átruházásával/átvételével keletkezett adóköteles nyeresége ellentételezhető. A nyereség csak az aktuális év adóalapjának 50%-áig ellentételezhető</w:t>
      </w:r>
      <w:r w:rsidR="00405471">
        <w:rPr>
          <w:rFonts w:asciiTheme="minorHAnsi" w:hAnsiTheme="minorHAnsi"/>
        </w:rPr>
        <w:t xml:space="preserve"> </w:t>
      </w:r>
      <w:r w:rsidRPr="003249D9">
        <w:rPr>
          <w:rFonts w:asciiTheme="minorHAnsi" w:hAnsiTheme="minorHAnsi"/>
        </w:rPr>
        <w:t>továbbvitt adóveszteséggel.</w:t>
      </w:r>
    </w:p>
    <w:p w:rsidR="00BF6ACB" w:rsidRPr="003249D9" w:rsidRDefault="00AB7CFF" w:rsidP="00BF6ACB">
      <w:pPr>
        <w:pStyle w:val="TASTextheading3"/>
        <w:rPr>
          <w:rFonts w:asciiTheme="minorHAnsi" w:hAnsiTheme="minorHAnsi"/>
        </w:rPr>
      </w:pPr>
      <w:r w:rsidRPr="003249D9">
        <w:rPr>
          <w:rFonts w:asciiTheme="minorHAnsi" w:hAnsiTheme="minorHAnsi"/>
        </w:rPr>
        <w:t>Hely</w:t>
      </w:r>
      <w:r w:rsidR="0021273A">
        <w:rPr>
          <w:rFonts w:asciiTheme="minorHAnsi" w:hAnsiTheme="minorHAnsi"/>
        </w:rPr>
        <w:t>i iparűzési adó / innovációs járulék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bank által, az ingatlan átvételével realizált nyereség (ha van) a bank oldalán helyi iparűzési adó / innovációs </w:t>
      </w:r>
      <w:proofErr w:type="gramStart"/>
      <w:r w:rsidR="0021273A">
        <w:rPr>
          <w:rFonts w:asciiTheme="minorHAnsi" w:hAnsiTheme="minorHAnsi"/>
        </w:rPr>
        <w:t>járulék</w:t>
      </w:r>
      <w:r w:rsidRPr="003249D9">
        <w:rPr>
          <w:rFonts w:asciiTheme="minorHAnsi" w:hAnsiTheme="minorHAnsi"/>
        </w:rPr>
        <w:t xml:space="preserve"> fizetési</w:t>
      </w:r>
      <w:proofErr w:type="gramEnd"/>
      <w:r w:rsidRPr="003249D9">
        <w:rPr>
          <w:rFonts w:asciiTheme="minorHAnsi" w:hAnsiTheme="minorHAnsi"/>
        </w:rPr>
        <w:t xml:space="preserve"> kötelezettséget eredményez.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lastRenderedPageBreak/>
        <w:t xml:space="preserve">Általánosságban az ingatlan átvételével kapcsolatban könyvelt bevétel (vagyis az átruházási érték) után az adósnak nem keletkezik helyi iparűzési adó / innovációs </w:t>
      </w:r>
      <w:proofErr w:type="gramStart"/>
      <w:r w:rsidR="0021273A">
        <w:rPr>
          <w:rFonts w:asciiTheme="minorHAnsi" w:hAnsiTheme="minorHAnsi"/>
        </w:rPr>
        <w:t>járulék</w:t>
      </w:r>
      <w:r w:rsidRPr="003249D9">
        <w:rPr>
          <w:rFonts w:asciiTheme="minorHAnsi" w:hAnsiTheme="minorHAnsi"/>
        </w:rPr>
        <w:t xml:space="preserve"> fizetési</w:t>
      </w:r>
      <w:proofErr w:type="gramEnd"/>
      <w:r w:rsidRPr="003249D9">
        <w:rPr>
          <w:rFonts w:asciiTheme="minorHAnsi" w:hAnsiTheme="minorHAnsi"/>
        </w:rPr>
        <w:t xml:space="preserve"> kötelezettsége. Mindazonáltal, ha az ingatlant készletként tüntetik fel a könyvelésben, akkor a bevétel mínusz a kivezetett ingatlan könyv szerinti értéke helyi iparűzési adó / innovációs </w:t>
      </w:r>
      <w:r w:rsidR="0021273A">
        <w:rPr>
          <w:rFonts w:asciiTheme="minorHAnsi" w:hAnsiTheme="minorHAnsi"/>
        </w:rPr>
        <w:t>járulék</w:t>
      </w:r>
      <w:r w:rsidRPr="003249D9">
        <w:rPr>
          <w:rFonts w:asciiTheme="minorHAnsi" w:hAnsiTheme="minorHAnsi"/>
        </w:rPr>
        <w:t xml:space="preserve"> köteles.</w:t>
      </w:r>
    </w:p>
    <w:p w:rsidR="00BF6ACB" w:rsidRPr="003249D9" w:rsidRDefault="00AB7CFF" w:rsidP="00BF6ACB">
      <w:pPr>
        <w:pStyle w:val="TASTextheading3"/>
        <w:rPr>
          <w:rFonts w:asciiTheme="minorHAnsi" w:hAnsiTheme="minorHAnsi"/>
        </w:rPr>
      </w:pPr>
      <w:r w:rsidRPr="003249D9">
        <w:rPr>
          <w:rFonts w:asciiTheme="minorHAnsi" w:hAnsiTheme="minorHAnsi"/>
        </w:rPr>
        <w:t>Bankadó</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tranzakció nem érinti a bank bankadó-kötelezettségét.</w:t>
      </w:r>
    </w:p>
    <w:p w:rsidR="00BF6ACB" w:rsidRPr="003249D9" w:rsidRDefault="00AB7CFF" w:rsidP="00BF6ACB">
      <w:pPr>
        <w:pStyle w:val="TASTextheading3"/>
        <w:rPr>
          <w:rFonts w:asciiTheme="minorHAnsi" w:hAnsiTheme="minorHAnsi"/>
        </w:rPr>
      </w:pPr>
      <w:r w:rsidRPr="003249D9">
        <w:rPr>
          <w:rFonts w:asciiTheme="minorHAnsi" w:hAnsiTheme="minorHAnsi"/>
        </w:rPr>
        <w:t xml:space="preserve">Pénzügyi tranzakciós </w:t>
      </w:r>
      <w:r w:rsidR="0021273A">
        <w:rPr>
          <w:rFonts w:asciiTheme="minorHAnsi" w:hAnsiTheme="minorHAnsi"/>
        </w:rPr>
        <w:t>illeték</w:t>
      </w:r>
      <w:r w:rsidRPr="003249D9">
        <w:rPr>
          <w:rFonts w:asciiTheme="minorHAnsi" w:hAnsiTheme="minorHAnsi"/>
        </w:rPr>
        <w:t xml:space="preserve">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tranzakció nem érinti a bank pénzügyi tranzakciós </w:t>
      </w:r>
      <w:r w:rsidR="0021273A">
        <w:rPr>
          <w:rFonts w:asciiTheme="minorHAnsi" w:hAnsiTheme="minorHAnsi"/>
        </w:rPr>
        <w:t>illeték</w:t>
      </w:r>
      <w:r w:rsidRPr="003249D9">
        <w:rPr>
          <w:rFonts w:asciiTheme="minorHAnsi" w:hAnsiTheme="minorHAnsi"/>
        </w:rPr>
        <w:t xml:space="preserve"> kötelezettségét.</w:t>
      </w:r>
    </w:p>
    <w:p w:rsidR="00BF6ACB" w:rsidRPr="003249D9" w:rsidRDefault="00AB7CFF" w:rsidP="00BF6ACB">
      <w:pPr>
        <w:pStyle w:val="TASTextheading3"/>
        <w:rPr>
          <w:rFonts w:asciiTheme="minorHAnsi" w:hAnsiTheme="minorHAnsi"/>
        </w:rPr>
      </w:pPr>
      <w:r w:rsidRPr="003249D9">
        <w:rPr>
          <w:rFonts w:asciiTheme="minorHAnsi" w:hAnsiTheme="minorHAnsi"/>
        </w:rPr>
        <w:t>ÁFA</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Az ÁFA kezelése eltérő lehet a szerint, hogy az ingatlan </w:t>
      </w:r>
    </w:p>
    <w:p w:rsidR="00BF6ACB" w:rsidRPr="003249D9" w:rsidRDefault="00AB7CFF" w:rsidP="009A73FD">
      <w:pPr>
        <w:pStyle w:val="TASBullet2"/>
        <w:numPr>
          <w:ilvl w:val="1"/>
          <w:numId w:val="32"/>
        </w:numPr>
        <w:rPr>
          <w:rFonts w:asciiTheme="minorHAnsi" w:hAnsiTheme="minorHAnsi"/>
        </w:rPr>
      </w:pPr>
      <w:r w:rsidRPr="003249D9">
        <w:rPr>
          <w:rFonts w:asciiTheme="minorHAnsi" w:hAnsiTheme="minorHAnsi"/>
        </w:rPr>
        <w:t>földterület VAGY</w:t>
      </w:r>
    </w:p>
    <w:p w:rsidR="00BF6ACB" w:rsidRPr="003249D9" w:rsidRDefault="00AB7CFF" w:rsidP="009A73FD">
      <w:pPr>
        <w:pStyle w:val="TASBullet2"/>
        <w:numPr>
          <w:ilvl w:val="1"/>
          <w:numId w:val="32"/>
        </w:numPr>
        <w:rPr>
          <w:rFonts w:asciiTheme="minorHAnsi" w:hAnsiTheme="minorHAnsi"/>
        </w:rPr>
      </w:pPr>
      <w:r w:rsidRPr="003249D9">
        <w:rPr>
          <w:rFonts w:asciiTheme="minorHAnsi" w:hAnsiTheme="minorHAnsi"/>
        </w:rPr>
        <w:t>épület (ideértve azt a földterületet, amelyen az épület áll)</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Egy épület kezelése ÁFA szempontjából általában attól függ, hogy az épületet az első használatba vételtől számított két éven belül értékesítik-e vagy sem:</w:t>
      </w:r>
    </w:p>
    <w:p w:rsidR="00BF6ACB" w:rsidRPr="003249D9" w:rsidRDefault="00AB7CFF" w:rsidP="009A73FD">
      <w:pPr>
        <w:pStyle w:val="TASBullet2"/>
        <w:numPr>
          <w:ilvl w:val="1"/>
          <w:numId w:val="32"/>
        </w:numPr>
        <w:rPr>
          <w:rFonts w:asciiTheme="minorHAnsi" w:hAnsiTheme="minorHAnsi"/>
        </w:rPr>
      </w:pPr>
      <w:r w:rsidRPr="003249D9">
        <w:rPr>
          <w:rFonts w:asciiTheme="minorHAnsi" w:hAnsiTheme="minorHAnsi"/>
        </w:rPr>
        <w:t xml:space="preserve">Ha az épületet a két éves időszakon belül értékesítik, akkor a vételre 27%-os ÁFA tevődik. Az </w:t>
      </w:r>
      <w:proofErr w:type="spellStart"/>
      <w:r w:rsidRPr="003249D9">
        <w:rPr>
          <w:rFonts w:asciiTheme="minorHAnsi" w:hAnsiTheme="minorHAnsi"/>
        </w:rPr>
        <w:t>ÁFÁ-t</w:t>
      </w:r>
      <w:proofErr w:type="spellEnd"/>
      <w:r w:rsidRPr="003249D9">
        <w:rPr>
          <w:rFonts w:asciiTheme="minorHAnsi" w:hAnsiTheme="minorHAnsi"/>
        </w:rPr>
        <w:t xml:space="preserve"> az adósnak kell megfizetnie. A bank – amennyiben az ingatlanok értékesítése/bérbeadása esetén adókötelességet vállalt – visszaigényelheti az ÁFA összegét az adóhatóságtól.</w:t>
      </w:r>
    </w:p>
    <w:p w:rsidR="00BF6ACB" w:rsidRPr="003249D9" w:rsidRDefault="00AB7CFF" w:rsidP="009A73FD">
      <w:pPr>
        <w:pStyle w:val="TASBullet2"/>
        <w:numPr>
          <w:ilvl w:val="1"/>
          <w:numId w:val="32"/>
        </w:numPr>
        <w:rPr>
          <w:rFonts w:asciiTheme="minorHAnsi" w:hAnsiTheme="minorHAnsi"/>
        </w:rPr>
      </w:pPr>
      <w:r w:rsidRPr="003249D9">
        <w:rPr>
          <w:rFonts w:asciiTheme="minorHAnsi" w:hAnsiTheme="minorHAnsi"/>
        </w:rPr>
        <w:t xml:space="preserve">Ha az épületet a két éves időszak után értékesítik, akkor a vétel </w:t>
      </w:r>
      <w:proofErr w:type="spellStart"/>
      <w:r w:rsidRPr="003249D9">
        <w:rPr>
          <w:rFonts w:asciiTheme="minorHAnsi" w:hAnsiTheme="minorHAnsi"/>
        </w:rPr>
        <w:t>ÁFA-mentes</w:t>
      </w:r>
      <w:proofErr w:type="spellEnd"/>
      <w:r w:rsidRPr="003249D9">
        <w:rPr>
          <w:rFonts w:asciiTheme="minorHAnsi" w:hAnsiTheme="minorHAnsi"/>
        </w:rPr>
        <w:t xml:space="preserve">, hacsak az adós nem választotta a vételi ügylet </w:t>
      </w:r>
      <w:proofErr w:type="spellStart"/>
      <w:r w:rsidRPr="003249D9">
        <w:rPr>
          <w:rFonts w:asciiTheme="minorHAnsi" w:hAnsiTheme="minorHAnsi"/>
        </w:rPr>
        <w:t>ÁFA-körbe</w:t>
      </w:r>
      <w:proofErr w:type="spellEnd"/>
      <w:r w:rsidRPr="003249D9">
        <w:rPr>
          <w:rFonts w:asciiTheme="minorHAnsi" w:hAnsiTheme="minorHAnsi"/>
        </w:rPr>
        <w:t xml:space="preserve"> tartozó kezelését. Az utóbbi esetben a vételre fordított adókivetési mechanizmus vonatkozik, vagyis a banknak kell </w:t>
      </w:r>
      <w:r w:rsidR="0021273A">
        <w:rPr>
          <w:rFonts w:asciiTheme="minorHAnsi" w:hAnsiTheme="minorHAnsi"/>
        </w:rPr>
        <w:t xml:space="preserve">felszámítania </w:t>
      </w:r>
      <w:r w:rsidRPr="003249D9">
        <w:rPr>
          <w:rFonts w:asciiTheme="minorHAnsi" w:hAnsiTheme="minorHAnsi"/>
        </w:rPr>
        <w:t xml:space="preserve">és megfizetnie is az </w:t>
      </w:r>
      <w:proofErr w:type="spellStart"/>
      <w:r w:rsidRPr="003249D9">
        <w:rPr>
          <w:rFonts w:asciiTheme="minorHAnsi" w:hAnsiTheme="minorHAnsi"/>
        </w:rPr>
        <w:t>ÁFÁ-t</w:t>
      </w:r>
      <w:proofErr w:type="spellEnd"/>
      <w:r w:rsidRPr="003249D9">
        <w:rPr>
          <w:rFonts w:asciiTheme="minorHAnsi" w:hAnsiTheme="minorHAnsi"/>
        </w:rPr>
        <w:t xml:space="preserve">. (A bank természetesen visszaigényelheti az </w:t>
      </w:r>
      <w:proofErr w:type="spellStart"/>
      <w:r w:rsidRPr="003249D9">
        <w:rPr>
          <w:rFonts w:asciiTheme="minorHAnsi" w:hAnsiTheme="minorHAnsi"/>
        </w:rPr>
        <w:t>ÁFÁ-t</w:t>
      </w:r>
      <w:proofErr w:type="spellEnd"/>
      <w:r w:rsidRPr="003249D9">
        <w:rPr>
          <w:rFonts w:asciiTheme="minorHAnsi" w:hAnsiTheme="minorHAnsi"/>
        </w:rPr>
        <w:t xml:space="preserve">, ha az </w:t>
      </w:r>
      <w:proofErr w:type="spellStart"/>
      <w:r w:rsidRPr="003249D9">
        <w:rPr>
          <w:rFonts w:asciiTheme="minorHAnsi" w:hAnsiTheme="minorHAnsi"/>
        </w:rPr>
        <w:t>ÁFA-visszaigénylés</w:t>
      </w:r>
      <w:proofErr w:type="spellEnd"/>
      <w:r w:rsidRPr="003249D9">
        <w:rPr>
          <w:rFonts w:asciiTheme="minorHAnsi" w:hAnsiTheme="minorHAnsi"/>
        </w:rPr>
        <w:t xml:space="preserve"> feltételei teljesülnek).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földterület értékesítése </w:t>
      </w:r>
      <w:proofErr w:type="spellStart"/>
      <w:r w:rsidRPr="003249D9">
        <w:rPr>
          <w:rFonts w:asciiTheme="minorHAnsi" w:hAnsiTheme="minorHAnsi"/>
        </w:rPr>
        <w:t>ÁFA-mentességet</w:t>
      </w:r>
      <w:proofErr w:type="spellEnd"/>
      <w:r w:rsidRPr="003249D9">
        <w:rPr>
          <w:rFonts w:asciiTheme="minorHAnsi" w:hAnsiTheme="minorHAnsi"/>
        </w:rPr>
        <w:t xml:space="preserve"> élvez. Amennyiben az adós a vételi ügylet </w:t>
      </w:r>
      <w:proofErr w:type="spellStart"/>
      <w:r w:rsidRPr="003249D9">
        <w:rPr>
          <w:rFonts w:asciiTheme="minorHAnsi" w:hAnsiTheme="minorHAnsi"/>
        </w:rPr>
        <w:t>ÁFA-körbe</w:t>
      </w:r>
      <w:proofErr w:type="spellEnd"/>
      <w:r w:rsidRPr="003249D9">
        <w:rPr>
          <w:rFonts w:asciiTheme="minorHAnsi" w:hAnsiTheme="minorHAnsi"/>
        </w:rPr>
        <w:t xml:space="preserve"> tartozó kezelését választotta, akkor a vételre fordított adókivetési mechanizmust kell alkalmazni.</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fentiek ellenére, építési telek értékesítésére 27%-os ÁFA vonatkozik. Az </w:t>
      </w:r>
      <w:proofErr w:type="spellStart"/>
      <w:r w:rsidRPr="003249D9">
        <w:rPr>
          <w:rFonts w:asciiTheme="minorHAnsi" w:hAnsiTheme="minorHAnsi"/>
        </w:rPr>
        <w:t>ÁFÁ-t</w:t>
      </w:r>
      <w:proofErr w:type="spellEnd"/>
      <w:r w:rsidRPr="003249D9">
        <w:rPr>
          <w:rFonts w:asciiTheme="minorHAnsi" w:hAnsiTheme="minorHAnsi"/>
        </w:rPr>
        <w:t xml:space="preserve"> az adósnak kell megfizetnie. A bank – amennyiben az ingatlanok értékesítése/bérbeadása esetén adókötelességet vállalt – visszaigényelheti az ÁFA összegét az adóhatóságtól.</w:t>
      </w:r>
    </w:p>
    <w:p w:rsidR="00BF6ACB" w:rsidRPr="003249D9" w:rsidRDefault="00EF41AC" w:rsidP="00BF6ACB">
      <w:pPr>
        <w:pStyle w:val="TASTextheading3"/>
        <w:rPr>
          <w:rFonts w:asciiTheme="minorHAnsi" w:hAnsiTheme="minorHAnsi"/>
        </w:rPr>
      </w:pPr>
      <w:r>
        <w:rPr>
          <w:rFonts w:asciiTheme="minorHAnsi" w:hAnsiTheme="minorHAnsi"/>
        </w:rPr>
        <w:t>Visszterhes vagyonátruházási illeték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Az ingatlanok átvételére </w:t>
      </w:r>
      <w:r w:rsidR="0021273A">
        <w:rPr>
          <w:rFonts w:asciiTheme="minorHAnsi" w:hAnsiTheme="minorHAnsi"/>
        </w:rPr>
        <w:t>visszterhes vagyonátruházási illetéket</w:t>
      </w:r>
      <w:r w:rsidR="0021273A" w:rsidRPr="003249D9">
        <w:rPr>
          <w:rFonts w:asciiTheme="minorHAnsi" w:hAnsiTheme="minorHAnsi"/>
        </w:rPr>
        <w:t xml:space="preserve"> </w:t>
      </w:r>
      <w:r w:rsidRPr="003249D9">
        <w:rPr>
          <w:rFonts w:asciiTheme="minorHAnsi" w:hAnsiTheme="minorHAnsi"/>
        </w:rPr>
        <w:t xml:space="preserve">kell fizetni. </w:t>
      </w:r>
      <w:r w:rsidR="0021273A">
        <w:rPr>
          <w:rFonts w:asciiTheme="minorHAnsi" w:hAnsiTheme="minorHAnsi"/>
        </w:rPr>
        <w:t>A visszterhes vagyonátruházási illetéket</w:t>
      </w:r>
      <w:r w:rsidRPr="003249D9">
        <w:rPr>
          <w:rFonts w:asciiTheme="minorHAnsi" w:hAnsiTheme="minorHAnsi"/>
        </w:rPr>
        <w:t xml:space="preserve"> a vevő – vagyis a bank – fizeti meg az alábbiak szerint:</w:t>
      </w:r>
    </w:p>
    <w:p w:rsidR="00BF6ACB" w:rsidRPr="003249D9" w:rsidRDefault="00AB7CFF" w:rsidP="009A73FD">
      <w:pPr>
        <w:pStyle w:val="TASBullet2"/>
        <w:numPr>
          <w:ilvl w:val="1"/>
          <w:numId w:val="32"/>
        </w:numPr>
        <w:rPr>
          <w:rFonts w:asciiTheme="minorHAnsi" w:hAnsiTheme="minorHAnsi"/>
        </w:rPr>
      </w:pPr>
      <w:r w:rsidRPr="003249D9">
        <w:rPr>
          <w:rFonts w:asciiTheme="minorHAnsi" w:hAnsiTheme="minorHAnsi"/>
        </w:rPr>
        <w:t>A</w:t>
      </w:r>
      <w:r w:rsidR="0021273A">
        <w:rPr>
          <w:rFonts w:asciiTheme="minorHAnsi" w:hAnsiTheme="minorHAnsi"/>
        </w:rPr>
        <w:t xml:space="preserve"> visszterhes vagyonátruházási illeték</w:t>
      </w:r>
      <w:r w:rsidR="0021273A" w:rsidRPr="003249D9">
        <w:rPr>
          <w:rFonts w:asciiTheme="minorHAnsi" w:hAnsiTheme="minorHAnsi"/>
        </w:rPr>
        <w:t xml:space="preserve"> </w:t>
      </w:r>
      <w:r w:rsidRPr="003249D9">
        <w:rPr>
          <w:rFonts w:asciiTheme="minorHAnsi" w:hAnsiTheme="minorHAnsi"/>
        </w:rPr>
        <w:t xml:space="preserve">általában 4% az ingatlan piaci értékének 1 milliárd forintjáig, és 2% az e feletti részre, felső határa azonban ingatlanonként 200 millió forint. </w:t>
      </w:r>
    </w:p>
    <w:p w:rsidR="00BF6ACB" w:rsidRPr="003249D9" w:rsidRDefault="00AB7CFF" w:rsidP="009A73FD">
      <w:pPr>
        <w:pStyle w:val="TASBullet2"/>
        <w:numPr>
          <w:ilvl w:val="1"/>
          <w:numId w:val="32"/>
        </w:numPr>
        <w:rPr>
          <w:rFonts w:asciiTheme="minorHAnsi" w:hAnsiTheme="minorHAnsi"/>
        </w:rPr>
      </w:pPr>
      <w:r w:rsidRPr="003249D9">
        <w:rPr>
          <w:rFonts w:asciiTheme="minorHAnsi" w:hAnsiTheme="minorHAnsi"/>
        </w:rPr>
        <w:t xml:space="preserve">A bankok esetén ugyanakkor különleges szabályok alkalmazandók a felszámolás vagy végrehajtási eljárást követő ingatlantulajdon-szerzésre. Ebben az esetben a tulajdonszerzésre csökkentett mértékű, 2%-os </w:t>
      </w:r>
      <w:r w:rsidR="0021273A">
        <w:rPr>
          <w:rFonts w:asciiTheme="minorHAnsi" w:hAnsiTheme="minorHAnsi"/>
        </w:rPr>
        <w:t>visszterhes vagyonátruházási illeték</w:t>
      </w:r>
      <w:r w:rsidRPr="003249D9">
        <w:rPr>
          <w:rFonts w:asciiTheme="minorHAnsi" w:hAnsiTheme="minorHAnsi"/>
        </w:rPr>
        <w:t xml:space="preserve"> vonatkozik feltéve, hogy a bank az ingatlant három éven belül eladja. Ha az ingatlan eladására nem kerül sor e három éves időszakon belül, akkor a banknak további, 4%-os </w:t>
      </w:r>
      <w:r w:rsidR="0021273A">
        <w:rPr>
          <w:rFonts w:asciiTheme="minorHAnsi" w:hAnsiTheme="minorHAnsi"/>
        </w:rPr>
        <w:t>illeték</w:t>
      </w:r>
      <w:r w:rsidRPr="003249D9">
        <w:rPr>
          <w:rFonts w:asciiTheme="minorHAnsi" w:hAnsiTheme="minorHAnsi"/>
        </w:rPr>
        <w:t>-kötelezettsége keletkezik.</w:t>
      </w:r>
    </w:p>
    <w:p w:rsidR="00BF6ACB" w:rsidRPr="003249D9" w:rsidRDefault="00AB7CFF" w:rsidP="00BF6ACB">
      <w:pPr>
        <w:pStyle w:val="TASTextheading3"/>
        <w:rPr>
          <w:rFonts w:asciiTheme="minorHAnsi" w:hAnsiTheme="minorHAnsi"/>
        </w:rPr>
      </w:pPr>
      <w:r w:rsidRPr="003249D9">
        <w:rPr>
          <w:rFonts w:asciiTheme="minorHAnsi" w:hAnsiTheme="minorHAnsi"/>
        </w:rPr>
        <w:t>Ingatlanadó</w:t>
      </w:r>
      <w:r w:rsidR="0021273A">
        <w:rPr>
          <w:rFonts w:asciiTheme="minorHAnsi" w:hAnsiTheme="minorHAnsi"/>
        </w:rPr>
        <w:t xml:space="preserve"> (építményadó, telekadó)</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Az adósoktól átvett ingatlan után a helyi önkormányzat által kivetett ingatlanadót kell fizetni. Az ingatlanadót attól függetlenül kell megfizetni, hogy az ingatlant használatba veszik-e.</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Az ingatlanadó felső értékhatára épületek esetén 1821 Ft/m2 vagy a piaci ár felének 3,6%-</w:t>
      </w:r>
      <w:proofErr w:type="gramStart"/>
      <w:r w:rsidRPr="003249D9">
        <w:rPr>
          <w:rFonts w:asciiTheme="minorHAnsi" w:hAnsiTheme="minorHAnsi"/>
        </w:rPr>
        <w:t>a.</w:t>
      </w:r>
      <w:proofErr w:type="gramEnd"/>
      <w:r w:rsidRPr="003249D9">
        <w:rPr>
          <w:rFonts w:asciiTheme="minorHAnsi" w:hAnsiTheme="minorHAnsi"/>
        </w:rPr>
        <w:t xml:space="preserve"> A tényleges adókulcs megállapítása annak az önkormányzatnak a hatáskörébe tartozik, amely területén az ingatlan található.</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Az ingatlanadó felső értékhatára földterület esetén 331 Ft/m2 vagy a piaci ár felének 3%-</w:t>
      </w:r>
      <w:proofErr w:type="gramStart"/>
      <w:r w:rsidRPr="003249D9">
        <w:rPr>
          <w:rFonts w:asciiTheme="minorHAnsi" w:hAnsiTheme="minorHAnsi"/>
        </w:rPr>
        <w:t>a.</w:t>
      </w:r>
      <w:proofErr w:type="gramEnd"/>
      <w:r w:rsidRPr="003249D9">
        <w:rPr>
          <w:rFonts w:asciiTheme="minorHAnsi" w:hAnsiTheme="minorHAnsi"/>
        </w:rPr>
        <w:t xml:space="preserve"> A tényleges adókulcs megállapítása annak az önkormányzatnak a hatáskörébe tartozik, amely területén az ingatlan található.</w:t>
      </w:r>
    </w:p>
    <w:p w:rsidR="00BF6ACB" w:rsidRPr="003249D9" w:rsidRDefault="00AB7CFF" w:rsidP="009A73FD">
      <w:pPr>
        <w:pStyle w:val="TASTextheading2"/>
        <w:numPr>
          <w:ilvl w:val="2"/>
          <w:numId w:val="31"/>
        </w:numPr>
        <w:rPr>
          <w:rFonts w:asciiTheme="minorHAnsi" w:hAnsiTheme="minorHAnsi"/>
        </w:rPr>
      </w:pPr>
      <w:r w:rsidRPr="003249D9">
        <w:rPr>
          <w:rFonts w:asciiTheme="minorHAnsi" w:hAnsiTheme="minorHAnsi"/>
        </w:rPr>
        <w:lastRenderedPageBreak/>
        <w:t>Adósság–tőkerész csere</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Adósság–tőkerész csere során a bank az adós társaság tulajdonosává válik kinnlevőségeknek az adósnak fizetett természetbeni </w:t>
      </w:r>
      <w:proofErr w:type="spellStart"/>
      <w:r w:rsidRPr="003249D9">
        <w:rPr>
          <w:rFonts w:asciiTheme="minorHAnsi" w:hAnsiTheme="minorHAnsi"/>
        </w:rPr>
        <w:t>tőkehozzájárulás</w:t>
      </w:r>
      <w:proofErr w:type="spellEnd"/>
      <w:r w:rsidRPr="003249D9">
        <w:rPr>
          <w:rFonts w:asciiTheme="minorHAnsi" w:hAnsiTheme="minorHAnsi"/>
        </w:rPr>
        <w:t xml:space="preserve"> révén.</w:t>
      </w:r>
    </w:p>
    <w:p w:rsidR="00BF6ACB" w:rsidRPr="003249D9" w:rsidRDefault="00AB7CFF" w:rsidP="00BF6ACB">
      <w:pPr>
        <w:pStyle w:val="TASTextheading3"/>
        <w:rPr>
          <w:rFonts w:asciiTheme="minorHAnsi" w:hAnsiTheme="minorHAnsi"/>
        </w:rPr>
      </w:pPr>
      <w:r w:rsidRPr="003249D9">
        <w:rPr>
          <w:rFonts w:asciiTheme="minorHAnsi" w:hAnsiTheme="minorHAnsi"/>
        </w:rPr>
        <w:t>Magyarországi számvitel</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hozzájárulás értékének és a kinnlevőség könyv szerinti értékének különbségétől függően a bank nyereséget vagy veszteséget könyvelhet el.</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Az adós a kinnlevőség névértékének és a hozzájárulás értékének különbségéig terjedően könyvelhet el nyereséget vagy veszteséget. </w:t>
      </w:r>
    </w:p>
    <w:p w:rsidR="00BF6ACB" w:rsidRPr="003249D9" w:rsidRDefault="00AB7CFF" w:rsidP="00BF6ACB">
      <w:pPr>
        <w:pStyle w:val="TASTextheading3"/>
        <w:rPr>
          <w:rFonts w:asciiTheme="minorHAnsi" w:hAnsiTheme="minorHAnsi"/>
        </w:rPr>
      </w:pPr>
      <w:r w:rsidRPr="003249D9">
        <w:rPr>
          <w:rFonts w:asciiTheme="minorHAnsi" w:hAnsiTheme="minorHAnsi"/>
        </w:rPr>
        <w:t>Az IFRS konszolidációra vonatkozó szabályai</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Az IFRS 10-es számviteli standardja (Konszolidált Pénzügyi Beszámolók) által lefektetett konszolidációs szabályok alapján, ha a bank az adós társaságban csak </w:t>
      </w:r>
      <w:proofErr w:type="gramStart"/>
      <w:r w:rsidRPr="003249D9">
        <w:rPr>
          <w:rFonts w:asciiTheme="minorHAnsi" w:hAnsiTheme="minorHAnsi"/>
        </w:rPr>
        <w:t>kis mértékű</w:t>
      </w:r>
      <w:proofErr w:type="gramEnd"/>
      <w:r w:rsidRPr="003249D9">
        <w:rPr>
          <w:rFonts w:asciiTheme="minorHAnsi" w:hAnsiTheme="minorHAnsi"/>
        </w:rPr>
        <w:t xml:space="preserve"> érdekeltségre is tesz szert, úgy kell tekinteni, hogy a bank az adós felett irányítást szerez, amennyiben hatáskörébe tartozik az adós változó mértékű bevételére, és konszolidálásra kötelezhető.</w:t>
      </w:r>
    </w:p>
    <w:p w:rsidR="00BF6ACB" w:rsidRPr="003249D9" w:rsidRDefault="00AB7CFF" w:rsidP="00BF6ACB">
      <w:pPr>
        <w:pStyle w:val="TASTextheading3"/>
        <w:rPr>
          <w:rFonts w:asciiTheme="minorHAnsi" w:hAnsiTheme="minorHAnsi"/>
        </w:rPr>
      </w:pPr>
      <w:r w:rsidRPr="003249D9">
        <w:rPr>
          <w:rFonts w:asciiTheme="minorHAnsi" w:hAnsiTheme="minorHAnsi"/>
        </w:rPr>
        <w:t>Társasági adó</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bank által realizált nyereség vagy veszteség (ha van) társasági adó szempontjából adóköteles/adóalapból leírható.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bank által, az adósban szerzett tulajdonrész jövőbeni értékvesztése (ha van) társasági </w:t>
      </w:r>
      <w:proofErr w:type="gramStart"/>
      <w:r w:rsidRPr="003249D9">
        <w:rPr>
          <w:rFonts w:asciiTheme="minorHAnsi" w:hAnsiTheme="minorHAnsi"/>
        </w:rPr>
        <w:t>jövedelem adó</w:t>
      </w:r>
      <w:proofErr w:type="gramEnd"/>
      <w:r w:rsidRPr="003249D9">
        <w:rPr>
          <w:rFonts w:asciiTheme="minorHAnsi" w:hAnsiTheme="minorHAnsi"/>
        </w:rPr>
        <w:t xml:space="preserve"> szempontjából adóalapból leírható. Egy kivétel ugyanakkor érvényes abban az esetben, ha az adós nem teljesíti a Polgári Törvénykönyvről szóló törvényben előírt tőkeszükségletet az adósság–tőkerész csere végrehajtásának időpontjában, akkor a tulajdonrész jövőbeni értékvesztése nem </w:t>
      </w:r>
      <w:r w:rsidR="0021273A">
        <w:rPr>
          <w:rFonts w:asciiTheme="minorHAnsi" w:hAnsiTheme="minorHAnsi"/>
        </w:rPr>
        <w:t xml:space="preserve">vonható le a társasági </w:t>
      </w:r>
      <w:r w:rsidRPr="003249D9">
        <w:rPr>
          <w:rFonts w:asciiTheme="minorHAnsi" w:hAnsiTheme="minorHAnsi"/>
        </w:rPr>
        <w:t xml:space="preserve">adó adóalapjából.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Az adós szempontjából az elkönyvelt nyereség társaságiadó-köteles.</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Az adott adóév adóveszteségét az adós a bank könyvelésébe vett nyereséggel ellentételezheti. A nyereség csak az aktuális év adóalapjának 50%-áig ellentételezhető</w:t>
      </w:r>
      <w:r w:rsidR="00405471">
        <w:rPr>
          <w:rFonts w:asciiTheme="minorHAnsi" w:hAnsiTheme="minorHAnsi"/>
        </w:rPr>
        <w:t xml:space="preserve"> </w:t>
      </w:r>
      <w:r w:rsidRPr="003249D9">
        <w:rPr>
          <w:rFonts w:asciiTheme="minorHAnsi" w:hAnsiTheme="minorHAnsi"/>
        </w:rPr>
        <w:t xml:space="preserve">továbbvitt adóveszteséggel. </w:t>
      </w:r>
    </w:p>
    <w:p w:rsidR="00BF6ACB" w:rsidRPr="003249D9" w:rsidRDefault="00AB7CFF" w:rsidP="00BF6ACB">
      <w:pPr>
        <w:pStyle w:val="TASTextheading3"/>
        <w:rPr>
          <w:rFonts w:asciiTheme="minorHAnsi" w:hAnsiTheme="minorHAnsi"/>
        </w:rPr>
      </w:pPr>
      <w:r w:rsidRPr="003249D9">
        <w:rPr>
          <w:rFonts w:asciiTheme="minorHAnsi" w:hAnsiTheme="minorHAnsi"/>
        </w:rPr>
        <w:t>Hely</w:t>
      </w:r>
      <w:r w:rsidR="0021273A">
        <w:rPr>
          <w:rFonts w:asciiTheme="minorHAnsi" w:hAnsiTheme="minorHAnsi"/>
        </w:rPr>
        <w:t>i iparűzési adó / innovációs járulék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tranzakció a helyi iparűzési adó / innovációs</w:t>
      </w:r>
      <w:r w:rsidR="0021273A">
        <w:rPr>
          <w:rFonts w:asciiTheme="minorHAnsi" w:hAnsiTheme="minorHAnsi"/>
        </w:rPr>
        <w:t xml:space="preserve"> járulék</w:t>
      </w:r>
      <w:r w:rsidRPr="003249D9">
        <w:rPr>
          <w:rFonts w:asciiTheme="minorHAnsi" w:hAnsiTheme="minorHAnsi"/>
        </w:rPr>
        <w:t xml:space="preserve"> szempontjából nem érintett.</w:t>
      </w:r>
    </w:p>
    <w:p w:rsidR="00BF6ACB" w:rsidRPr="003249D9" w:rsidRDefault="00AB7CFF" w:rsidP="00BF6ACB">
      <w:pPr>
        <w:pStyle w:val="TASTextheading3"/>
        <w:rPr>
          <w:rFonts w:asciiTheme="minorHAnsi" w:hAnsiTheme="minorHAnsi"/>
        </w:rPr>
      </w:pPr>
      <w:r w:rsidRPr="003249D9">
        <w:rPr>
          <w:rFonts w:asciiTheme="minorHAnsi" w:hAnsiTheme="minorHAnsi"/>
        </w:rPr>
        <w:t>Bankadó</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tranzakció nem érinti a bank bankadó-kötelezettségét.</w:t>
      </w:r>
    </w:p>
    <w:p w:rsidR="00BF6ACB" w:rsidRPr="003249D9" w:rsidRDefault="0021273A" w:rsidP="00BF6ACB">
      <w:pPr>
        <w:pStyle w:val="TASTextheading3"/>
        <w:rPr>
          <w:rFonts w:asciiTheme="minorHAnsi" w:hAnsiTheme="minorHAnsi"/>
        </w:rPr>
      </w:pPr>
      <w:r>
        <w:rPr>
          <w:rFonts w:asciiTheme="minorHAnsi" w:hAnsiTheme="minorHAnsi"/>
        </w:rPr>
        <w:t>Pénzügyi tranzakciós illeték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tranzakció nem érinti a bank pénzügyi tranzakciós </w:t>
      </w:r>
      <w:r w:rsidR="0021273A">
        <w:rPr>
          <w:rFonts w:asciiTheme="minorHAnsi" w:hAnsiTheme="minorHAnsi"/>
        </w:rPr>
        <w:t xml:space="preserve">illeték </w:t>
      </w:r>
      <w:r w:rsidRPr="003249D9">
        <w:rPr>
          <w:rFonts w:asciiTheme="minorHAnsi" w:hAnsiTheme="minorHAnsi"/>
        </w:rPr>
        <w:t>kötelezettségét.</w:t>
      </w:r>
    </w:p>
    <w:p w:rsidR="00BF6ACB" w:rsidRPr="003249D9" w:rsidRDefault="00AB7CFF" w:rsidP="00BF6ACB">
      <w:pPr>
        <w:pStyle w:val="TASTextheading3"/>
        <w:rPr>
          <w:rFonts w:asciiTheme="minorHAnsi" w:hAnsiTheme="minorHAnsi"/>
        </w:rPr>
      </w:pPr>
      <w:r w:rsidRPr="003249D9">
        <w:rPr>
          <w:rFonts w:asciiTheme="minorHAnsi" w:hAnsiTheme="minorHAnsi"/>
        </w:rPr>
        <w:t>ÁFA</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tranzakció ÁFA szempontjából semleges.</w:t>
      </w:r>
    </w:p>
    <w:p w:rsidR="00BF6ACB" w:rsidRPr="003249D9" w:rsidRDefault="0021273A" w:rsidP="00BF6ACB">
      <w:pPr>
        <w:pStyle w:val="TASTextheading3"/>
        <w:rPr>
          <w:rFonts w:asciiTheme="minorHAnsi" w:hAnsiTheme="minorHAnsi"/>
        </w:rPr>
      </w:pPr>
      <w:r>
        <w:rPr>
          <w:rFonts w:asciiTheme="minorHAnsi" w:hAnsiTheme="minorHAnsi"/>
        </w:rPr>
        <w:t>Visszterhes vagyonátruházási illeték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tranzakció </w:t>
      </w:r>
      <w:r w:rsidR="0021273A">
        <w:rPr>
          <w:rFonts w:asciiTheme="minorHAnsi" w:hAnsiTheme="minorHAnsi"/>
        </w:rPr>
        <w:t>visszterhes vagyonátruházási illeték</w:t>
      </w:r>
      <w:r w:rsidR="0021273A" w:rsidRPr="003249D9">
        <w:rPr>
          <w:rFonts w:asciiTheme="minorHAnsi" w:hAnsiTheme="minorHAnsi"/>
        </w:rPr>
        <w:t xml:space="preserve"> </w:t>
      </w:r>
      <w:r w:rsidRPr="003249D9">
        <w:rPr>
          <w:rFonts w:asciiTheme="minorHAnsi" w:hAnsiTheme="minorHAnsi"/>
        </w:rPr>
        <w:t>szempontjából semleges.</w:t>
      </w:r>
    </w:p>
    <w:p w:rsidR="00BF6ACB" w:rsidRPr="003249D9" w:rsidRDefault="00AB7CFF" w:rsidP="009A73FD">
      <w:pPr>
        <w:pStyle w:val="TASTextheading2"/>
        <w:numPr>
          <w:ilvl w:val="2"/>
          <w:numId w:val="31"/>
        </w:numPr>
        <w:rPr>
          <w:rFonts w:asciiTheme="minorHAnsi" w:hAnsiTheme="minorHAnsi"/>
        </w:rPr>
      </w:pPr>
      <w:r w:rsidRPr="003249D9">
        <w:rPr>
          <w:rFonts w:asciiTheme="minorHAnsi" w:hAnsiTheme="minorHAnsi"/>
        </w:rPr>
        <w:t>Devizaátváltás</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Devizaátváltás során a bank és az adós megegyezik annak a devizának az átváltásában, amelyben a hitelt kifejezték. </w:t>
      </w:r>
    </w:p>
    <w:p w:rsidR="00BF6ACB" w:rsidRPr="003249D9" w:rsidRDefault="00AB7CFF" w:rsidP="00BF6ACB">
      <w:pPr>
        <w:pStyle w:val="TASTextheading3"/>
        <w:rPr>
          <w:rFonts w:asciiTheme="minorHAnsi" w:hAnsiTheme="minorHAnsi"/>
        </w:rPr>
      </w:pPr>
      <w:r w:rsidRPr="003249D9">
        <w:rPr>
          <w:rFonts w:asciiTheme="minorHAnsi" w:hAnsiTheme="minorHAnsi"/>
        </w:rPr>
        <w:t>Magyarországi számvitel</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devizaátváltás során végrehajtott </w:t>
      </w:r>
      <w:proofErr w:type="spellStart"/>
      <w:r w:rsidRPr="003249D9">
        <w:rPr>
          <w:rFonts w:asciiTheme="minorHAnsi" w:hAnsiTheme="minorHAnsi"/>
        </w:rPr>
        <w:t>restrukturálások</w:t>
      </w:r>
      <w:proofErr w:type="spellEnd"/>
      <w:r w:rsidRPr="003249D9">
        <w:rPr>
          <w:rFonts w:asciiTheme="minorHAnsi" w:hAnsiTheme="minorHAnsi"/>
        </w:rPr>
        <w:t xml:space="preserve"> esetén a bank és az adós az átváltásból devizanyereséget vagy devizaveszteséget realizálhat.</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különböző tranzakciók devizakülönbségeit bruttó alapon könyvelik el, vagyis a különböző tranzakciókból származó devizanyereség vagy devizaveszteség nem nettósítható. </w:t>
      </w:r>
    </w:p>
    <w:p w:rsidR="00BF6ACB" w:rsidRPr="003249D9" w:rsidRDefault="00AB7CFF" w:rsidP="00BF6ACB">
      <w:pPr>
        <w:pStyle w:val="TASTextheading3"/>
        <w:rPr>
          <w:rFonts w:asciiTheme="minorHAnsi" w:hAnsiTheme="minorHAnsi"/>
        </w:rPr>
      </w:pPr>
      <w:r w:rsidRPr="003249D9">
        <w:rPr>
          <w:rFonts w:asciiTheme="minorHAnsi" w:hAnsiTheme="minorHAnsi"/>
        </w:rPr>
        <w:t>Társasági adó</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bank és az adós által, a devizaátváltás során realizált nyereség/veszteség a társasági adó szempontjából adóköteles/adóalapból leírható.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lastRenderedPageBreak/>
        <w:t>Az adott adóév adóvesztesége a bank könyvelésébe vett nyereséggel ellentételezhető. A nyereség csak az aktuális év adóalapjának 50</w:t>
      </w:r>
      <w:r w:rsidR="007430EB" w:rsidRPr="003249D9">
        <w:rPr>
          <w:rFonts w:asciiTheme="minorHAnsi" w:hAnsiTheme="minorHAnsi"/>
        </w:rPr>
        <w:t>%-áig ellentételezhető</w:t>
      </w:r>
      <w:r w:rsidRPr="003249D9">
        <w:rPr>
          <w:rFonts w:asciiTheme="minorHAnsi" w:hAnsiTheme="minorHAnsi"/>
        </w:rPr>
        <w:t xml:space="preserve"> továbbvitt adóveszteséggel.</w:t>
      </w:r>
    </w:p>
    <w:p w:rsidR="00BF6ACB" w:rsidRPr="003249D9" w:rsidRDefault="00AB7CFF" w:rsidP="00BF6ACB">
      <w:pPr>
        <w:pStyle w:val="TASTextheading3"/>
        <w:rPr>
          <w:rFonts w:asciiTheme="minorHAnsi" w:hAnsiTheme="minorHAnsi"/>
        </w:rPr>
      </w:pPr>
      <w:r w:rsidRPr="003249D9">
        <w:rPr>
          <w:rFonts w:asciiTheme="minorHAnsi" w:hAnsiTheme="minorHAnsi"/>
        </w:rPr>
        <w:t>Hely</w:t>
      </w:r>
      <w:r w:rsidR="0021273A">
        <w:rPr>
          <w:rFonts w:asciiTheme="minorHAnsi" w:hAnsiTheme="minorHAnsi"/>
        </w:rPr>
        <w:t>i iparűzési adó / innovációs járulék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bank által, a devizaátváltás révén realizált nyereség után hely</w:t>
      </w:r>
      <w:r w:rsidR="0021273A">
        <w:rPr>
          <w:rFonts w:asciiTheme="minorHAnsi" w:hAnsiTheme="minorHAnsi"/>
        </w:rPr>
        <w:t xml:space="preserve">i iparűzési adó / innovációs </w:t>
      </w:r>
      <w:proofErr w:type="gramStart"/>
      <w:r w:rsidR="0021273A">
        <w:rPr>
          <w:rFonts w:asciiTheme="minorHAnsi" w:hAnsiTheme="minorHAnsi"/>
        </w:rPr>
        <w:t>járulék</w:t>
      </w:r>
      <w:r w:rsidRPr="003249D9">
        <w:rPr>
          <w:rFonts w:asciiTheme="minorHAnsi" w:hAnsiTheme="minorHAnsi"/>
        </w:rPr>
        <w:t xml:space="preserve"> fizetési</w:t>
      </w:r>
      <w:proofErr w:type="gramEnd"/>
      <w:r w:rsidRPr="003249D9">
        <w:rPr>
          <w:rFonts w:asciiTheme="minorHAnsi" w:hAnsiTheme="minorHAnsi"/>
        </w:rPr>
        <w:t xml:space="preserve"> kötelezettség keletkezik.</w:t>
      </w:r>
      <w:r w:rsidR="00405471">
        <w:rPr>
          <w:rFonts w:asciiTheme="minorHAnsi" w:hAnsiTheme="minorHAnsi"/>
        </w:rPr>
        <w:t xml:space="preserve"> </w:t>
      </w:r>
      <w:r w:rsidRPr="003249D9">
        <w:rPr>
          <w:rFonts w:asciiTheme="minorHAnsi" w:hAnsiTheme="minorHAnsi"/>
        </w:rPr>
        <w:t>A veszteség ugyanakkor adóalapból nem írható le.</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Az adós által, a devizaátváltás révén realizált nyereség/veszteség a helyi iparűzési adó / innovációs adó szempontjából nem adóköteles/adóalapból nem írható le.</w:t>
      </w:r>
    </w:p>
    <w:p w:rsidR="00BF6ACB" w:rsidRPr="003249D9" w:rsidRDefault="00AB7CFF" w:rsidP="00BF6ACB">
      <w:pPr>
        <w:pStyle w:val="TASTextheading3"/>
        <w:rPr>
          <w:rFonts w:asciiTheme="minorHAnsi" w:hAnsiTheme="minorHAnsi"/>
        </w:rPr>
      </w:pPr>
      <w:r w:rsidRPr="003249D9">
        <w:rPr>
          <w:rFonts w:asciiTheme="minorHAnsi" w:hAnsiTheme="minorHAnsi"/>
        </w:rPr>
        <w:t>Bankadó</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tranzakció nem érinti a bank bankadó-kötelezettségét.</w:t>
      </w:r>
    </w:p>
    <w:p w:rsidR="00BF6ACB" w:rsidRPr="003249D9" w:rsidRDefault="0021273A" w:rsidP="00BF6ACB">
      <w:pPr>
        <w:pStyle w:val="TASTextheading3"/>
        <w:rPr>
          <w:rFonts w:asciiTheme="minorHAnsi" w:hAnsiTheme="minorHAnsi"/>
        </w:rPr>
      </w:pPr>
      <w:r>
        <w:rPr>
          <w:rFonts w:asciiTheme="minorHAnsi" w:hAnsiTheme="minorHAnsi"/>
        </w:rPr>
        <w:t>Pénzügyi tranzakciós illeték</w:t>
      </w:r>
      <w:r w:rsidR="00AB7CFF" w:rsidRPr="003249D9">
        <w:rPr>
          <w:rFonts w:asciiTheme="minorHAnsi" w:hAnsiTheme="minorHAnsi"/>
        </w:rPr>
        <w:t xml:space="preserve">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tranzakció nem érinti a bank pénzügyi tranzakciós </w:t>
      </w:r>
      <w:r w:rsidR="0021273A">
        <w:rPr>
          <w:rFonts w:asciiTheme="minorHAnsi" w:hAnsiTheme="minorHAnsi"/>
        </w:rPr>
        <w:t xml:space="preserve">illeték </w:t>
      </w:r>
      <w:r w:rsidRPr="003249D9">
        <w:rPr>
          <w:rFonts w:asciiTheme="minorHAnsi" w:hAnsiTheme="minorHAnsi"/>
        </w:rPr>
        <w:t>kötelezettségét.</w:t>
      </w:r>
    </w:p>
    <w:p w:rsidR="00BF6ACB" w:rsidRPr="003249D9" w:rsidRDefault="00AB7CFF" w:rsidP="00BF6ACB">
      <w:pPr>
        <w:pStyle w:val="TASTextheading3"/>
        <w:rPr>
          <w:rFonts w:asciiTheme="minorHAnsi" w:hAnsiTheme="minorHAnsi"/>
        </w:rPr>
      </w:pPr>
      <w:r w:rsidRPr="003249D9">
        <w:rPr>
          <w:rFonts w:asciiTheme="minorHAnsi" w:hAnsiTheme="minorHAnsi"/>
        </w:rPr>
        <w:t>ÁFA</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tranzakció ÁFA szempontjából semleges.</w:t>
      </w:r>
    </w:p>
    <w:p w:rsidR="00BF6ACB" w:rsidRPr="003249D9" w:rsidRDefault="00AB7CFF" w:rsidP="009A73FD">
      <w:pPr>
        <w:pStyle w:val="TASTextheading2"/>
        <w:numPr>
          <w:ilvl w:val="2"/>
          <w:numId w:val="31"/>
        </w:numPr>
        <w:rPr>
          <w:rFonts w:asciiTheme="minorHAnsi" w:hAnsiTheme="minorHAnsi"/>
        </w:rPr>
      </w:pPr>
      <w:r w:rsidRPr="003249D9">
        <w:rPr>
          <w:rFonts w:asciiTheme="minorHAnsi" w:hAnsiTheme="minorHAnsi"/>
        </w:rPr>
        <w:t>A fizetés meghosszabbítása, átütemezése</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fizetés meghosszabbítása és átütemezése kapcsán nincsenek közvetlen magyar számviteli és adózási szempontok. </w:t>
      </w:r>
    </w:p>
    <w:p w:rsidR="00BF6ACB" w:rsidRPr="003249D9" w:rsidRDefault="00AB7CFF" w:rsidP="009A73FD">
      <w:pPr>
        <w:pStyle w:val="TASTextheading2"/>
        <w:numPr>
          <w:ilvl w:val="0"/>
          <w:numId w:val="31"/>
        </w:numPr>
        <w:rPr>
          <w:rFonts w:asciiTheme="minorHAnsi" w:hAnsiTheme="minorHAnsi"/>
        </w:rPr>
      </w:pPr>
      <w:r w:rsidRPr="003249D9">
        <w:rPr>
          <w:rFonts w:asciiTheme="minorHAnsi" w:hAnsiTheme="minorHAnsi"/>
        </w:rPr>
        <w:t xml:space="preserve">AZ EU-BAN HASONLÓ HELYZETEK ESETÉN ELÉRHETŐ MEGOLDÁSOK AZONOSÍTÁSA </w:t>
      </w:r>
      <w:proofErr w:type="gramStart"/>
      <w:r w:rsidRPr="003249D9">
        <w:rPr>
          <w:rFonts w:asciiTheme="minorHAnsi" w:hAnsiTheme="minorHAnsi"/>
        </w:rPr>
        <w:t>ÉS</w:t>
      </w:r>
      <w:proofErr w:type="gramEnd"/>
      <w:r w:rsidRPr="003249D9">
        <w:rPr>
          <w:rFonts w:asciiTheme="minorHAnsi" w:hAnsiTheme="minorHAnsi"/>
        </w:rPr>
        <w:t xml:space="preserve"> ELEMZÉSE, VALAMINT ÖSSZEHASONLÍTÁSA A MAGYAR KÖRNYEZETTEL</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Az európai szakértőhálózat aktív részvételének köszönhetően megvizsgáltuk az Egyesült Királyság, Olaszország, Görögország, Spanyolország és Németország adózási gyakorlatát azzal a céllal, hogy felmérjük, vannak-e olyan megoldások, amelyek Magyarországon is alkalmazhatók lennének a </w:t>
      </w:r>
      <w:proofErr w:type="spellStart"/>
      <w:r w:rsidRPr="003249D9">
        <w:rPr>
          <w:rFonts w:asciiTheme="minorHAnsi" w:hAnsiTheme="minorHAnsi"/>
        </w:rPr>
        <w:t>nemteljesítő</w:t>
      </w:r>
      <w:proofErr w:type="spellEnd"/>
      <w:r w:rsidRPr="003249D9">
        <w:rPr>
          <w:rFonts w:asciiTheme="minorHAnsi" w:hAnsiTheme="minorHAnsi"/>
        </w:rPr>
        <w:t xml:space="preserve"> hitelek felszámolását hátráltató nehézségekre. A jelen fejezet azokat a nehézségeket tárgyalja, amelyekre más EU-s országokban megoldást találtak, illetve ezeket az EU-s megoldásokat és magyarországi alkalmazhatóságukat ismerteti.</w:t>
      </w:r>
    </w:p>
    <w:p w:rsidR="00BF6ACB" w:rsidRPr="003249D9" w:rsidRDefault="00AB7CFF" w:rsidP="009A73FD">
      <w:pPr>
        <w:pStyle w:val="TASTextheading2"/>
        <w:numPr>
          <w:ilvl w:val="1"/>
          <w:numId w:val="31"/>
        </w:numPr>
        <w:rPr>
          <w:rFonts w:asciiTheme="minorHAnsi" w:hAnsiTheme="minorHAnsi"/>
        </w:rPr>
      </w:pPr>
      <w:r w:rsidRPr="003249D9">
        <w:rPr>
          <w:rFonts w:asciiTheme="minorHAnsi" w:hAnsiTheme="minorHAnsi"/>
        </w:rPr>
        <w:t>Adósság-elengedés</w:t>
      </w:r>
    </w:p>
    <w:p w:rsidR="00BF6ACB" w:rsidRPr="003249D9" w:rsidRDefault="00AB7CFF" w:rsidP="00BF6ACB">
      <w:pPr>
        <w:pStyle w:val="TASTextheading3"/>
        <w:rPr>
          <w:rFonts w:asciiTheme="minorHAnsi" w:hAnsiTheme="minorHAnsi"/>
        </w:rPr>
      </w:pPr>
      <w:r w:rsidRPr="003249D9">
        <w:rPr>
          <w:rFonts w:asciiTheme="minorHAnsi" w:hAnsiTheme="minorHAnsi"/>
        </w:rPr>
        <w:t xml:space="preserve">Az </w:t>
      </w:r>
      <w:proofErr w:type="spellStart"/>
      <w:r w:rsidRPr="003249D9">
        <w:rPr>
          <w:rFonts w:asciiTheme="minorHAnsi" w:hAnsiTheme="minorHAnsi"/>
        </w:rPr>
        <w:t>NPL-ek</w:t>
      </w:r>
      <w:proofErr w:type="spellEnd"/>
      <w:r w:rsidRPr="003249D9">
        <w:rPr>
          <w:rFonts w:asciiTheme="minorHAnsi" w:hAnsiTheme="minorHAnsi"/>
        </w:rPr>
        <w:t xml:space="preserve"> felszámolását hátráltató tényezők:</w:t>
      </w:r>
    </w:p>
    <w:p w:rsidR="00BF6ACB" w:rsidRPr="003249D9" w:rsidRDefault="00AB7CFF" w:rsidP="00BF6ACB">
      <w:pPr>
        <w:pStyle w:val="TASTextheading3"/>
        <w:rPr>
          <w:rFonts w:asciiTheme="minorHAnsi" w:hAnsiTheme="minorHAnsi"/>
          <w:bCs w:val="0"/>
          <w:i w:val="0"/>
          <w:color w:val="auto"/>
        </w:rPr>
      </w:pPr>
      <w:r w:rsidRPr="003249D9">
        <w:rPr>
          <w:rFonts w:asciiTheme="minorHAnsi"/>
          <w:i w:val="0"/>
          <w:color w:val="auto"/>
        </w:rPr>
        <w:t>►</w:t>
      </w:r>
      <w:r w:rsidRPr="003249D9">
        <w:tab/>
      </w:r>
      <w:r w:rsidRPr="003249D9">
        <w:rPr>
          <w:rFonts w:asciiTheme="minorHAnsi" w:hAnsiTheme="minorHAnsi"/>
          <w:i w:val="0"/>
          <w:color w:val="auto"/>
        </w:rPr>
        <w:t>Az adós által, az adósság teljes vagy részleges elengedése eredményeképp könyvelt bevétel társaságiadó-köteles, és csak abban az esetben ellentételezhető továbbvitt veszteségekkel, ha a kinnlevőséget felszámolási- vagy csődeljárásban a bíróság által jóváhagyott csődegyezség révén elengedték.</w:t>
      </w:r>
    </w:p>
    <w:p w:rsidR="00BF6ACB" w:rsidRPr="003249D9" w:rsidRDefault="00AB7CFF" w:rsidP="00BF6ACB">
      <w:pPr>
        <w:pStyle w:val="TASTextheading3"/>
        <w:rPr>
          <w:rFonts w:asciiTheme="minorHAnsi" w:hAnsiTheme="minorHAnsi"/>
        </w:rPr>
      </w:pPr>
      <w:r w:rsidRPr="003249D9">
        <w:rPr>
          <w:rFonts w:asciiTheme="minorHAnsi" w:hAnsiTheme="minorHAnsi"/>
        </w:rPr>
        <w:t>EU-s megoldás és magyarországi alkalmazhatósága:</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különböző EU-s jogrendekben (pl. az Egyesült Királyságban és Görögországban) az adós által, az adósság teljes vagy részleges elengedése eredményeképp könyvelt bevételre adómentességet vezettek be felszámolási folyamatban az adós és a hitelezők között létrejövő formális egyezség keretében.</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Magyarország szintén bevezethetné adós által, az adósság teljes vagy részleges elengedése eredményeképp könyvelt bevételre adómentességét akár általános adómentesség, akár korlátozott, csak azokra az esetekre érvényes adómentesség révén, amikor a hitelfelvevő fizetésképtelen és felszámolási eljárás alá vonták, VAGY</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Magyarország lehetővé tehetné az adós számára, hogy továbbvitt veszteségekkel teljes mértékben ellentételezze az adósság elengedése eredményeképp könyvelt bevételt minden esetben (nem csak akkor, amikor a kinnlevőséget felszámolási vagy csődeljárás keretében bíróság által jóváhagyott csődegyezség révén engedik el).</w:t>
      </w:r>
    </w:p>
    <w:p w:rsidR="00BF6ACB" w:rsidRPr="003249D9" w:rsidRDefault="00AB7CFF" w:rsidP="009A73FD">
      <w:pPr>
        <w:pStyle w:val="TASTextheading2"/>
        <w:numPr>
          <w:ilvl w:val="1"/>
          <w:numId w:val="31"/>
        </w:numPr>
        <w:rPr>
          <w:rFonts w:asciiTheme="minorHAnsi" w:hAnsiTheme="minorHAnsi"/>
        </w:rPr>
      </w:pPr>
      <w:r w:rsidRPr="003249D9">
        <w:rPr>
          <w:rFonts w:asciiTheme="minorHAnsi" w:hAnsiTheme="minorHAnsi"/>
        </w:rPr>
        <w:t xml:space="preserve">Az </w:t>
      </w:r>
      <w:proofErr w:type="spellStart"/>
      <w:r w:rsidRPr="003249D9">
        <w:rPr>
          <w:rFonts w:asciiTheme="minorHAnsi" w:hAnsiTheme="minorHAnsi"/>
        </w:rPr>
        <w:t>NPL-ek</w:t>
      </w:r>
      <w:proofErr w:type="spellEnd"/>
      <w:r w:rsidRPr="003249D9">
        <w:rPr>
          <w:rFonts w:asciiTheme="minorHAnsi" w:hAnsiTheme="minorHAnsi"/>
        </w:rPr>
        <w:t xml:space="preserve"> kivezetése a könyvelésből</w:t>
      </w:r>
    </w:p>
    <w:p w:rsidR="00BF6ACB" w:rsidRPr="003249D9" w:rsidRDefault="00AB7CFF" w:rsidP="00BF6ACB">
      <w:pPr>
        <w:pStyle w:val="TASTextheading3"/>
        <w:rPr>
          <w:rFonts w:asciiTheme="minorHAnsi" w:hAnsiTheme="minorHAnsi"/>
        </w:rPr>
      </w:pPr>
      <w:r w:rsidRPr="003249D9">
        <w:rPr>
          <w:rFonts w:asciiTheme="minorHAnsi" w:hAnsiTheme="minorHAnsi"/>
        </w:rPr>
        <w:t xml:space="preserve">Az </w:t>
      </w:r>
      <w:proofErr w:type="spellStart"/>
      <w:r w:rsidRPr="003249D9">
        <w:rPr>
          <w:rFonts w:asciiTheme="minorHAnsi" w:hAnsiTheme="minorHAnsi"/>
        </w:rPr>
        <w:t>NPL-ek</w:t>
      </w:r>
      <w:proofErr w:type="spellEnd"/>
      <w:r w:rsidRPr="003249D9">
        <w:rPr>
          <w:rFonts w:asciiTheme="minorHAnsi" w:hAnsiTheme="minorHAnsi"/>
        </w:rPr>
        <w:t xml:space="preserve"> felszámolását hátráltató tényezők: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rossz hitelek csak akkor vezethetők ki a bankok könyveléséből, ha azok a szám</w:t>
      </w:r>
      <w:r w:rsidR="0021273A">
        <w:rPr>
          <w:rFonts w:asciiTheme="minorHAnsi" w:hAnsiTheme="minorHAnsi"/>
        </w:rPr>
        <w:t xml:space="preserve">viteli </w:t>
      </w:r>
      <w:r w:rsidRPr="003249D9">
        <w:rPr>
          <w:rFonts w:asciiTheme="minorHAnsi" w:hAnsiTheme="minorHAnsi"/>
        </w:rPr>
        <w:t xml:space="preserve">törvény szerint behajthatatlannak minősülnek. A számviteli szabályok alapján a rossz hitelek a felszámolás végén válnak behajthatatlanná, vagyis a bankok mindaddig a könyvelésükben tartják az </w:t>
      </w:r>
      <w:proofErr w:type="spellStart"/>
      <w:r w:rsidRPr="003249D9">
        <w:rPr>
          <w:rFonts w:asciiTheme="minorHAnsi" w:hAnsiTheme="minorHAnsi"/>
        </w:rPr>
        <w:t>nemteljesítő</w:t>
      </w:r>
      <w:proofErr w:type="spellEnd"/>
      <w:r w:rsidRPr="003249D9">
        <w:rPr>
          <w:rFonts w:asciiTheme="minorHAnsi" w:hAnsiTheme="minorHAnsi"/>
        </w:rPr>
        <w:t xml:space="preserve"> hiteleket, amíg a hosszas felszámolási eljárás véget nem ér.</w:t>
      </w:r>
    </w:p>
    <w:p w:rsidR="00BF6ACB" w:rsidRPr="003249D9" w:rsidRDefault="00AB7CFF" w:rsidP="00BF6ACB">
      <w:pPr>
        <w:pStyle w:val="TASTextheading3"/>
        <w:rPr>
          <w:rFonts w:asciiTheme="minorHAnsi" w:hAnsiTheme="minorHAnsi"/>
        </w:rPr>
      </w:pPr>
      <w:r w:rsidRPr="003249D9">
        <w:rPr>
          <w:rFonts w:asciiTheme="minorHAnsi" w:hAnsiTheme="minorHAnsi"/>
        </w:rPr>
        <w:lastRenderedPageBreak/>
        <w:t>EU-s megoldás és magyarországi alkalmazhatósága:</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jelenlegi IFRS szabályok nem adnak konkrét útmutatást arra nézve, hogy egy kinnlevőség mikor írható le (vagyis vezethető ki) a könyvelésből rossz kinnlevőségként.</w:t>
      </w:r>
      <w:r w:rsidR="00405471">
        <w:rPr>
          <w:rFonts w:asciiTheme="minorHAnsi" w:hAnsiTheme="minorHAnsi"/>
        </w:rPr>
        <w:t xml:space="preserve"> </w:t>
      </w:r>
      <w:r w:rsidRPr="003249D9">
        <w:rPr>
          <w:rFonts w:asciiTheme="minorHAnsi" w:hAnsiTheme="minorHAnsi"/>
        </w:rPr>
        <w:t xml:space="preserve">Az IAS 39 szerint az értékvesztési veszteséget az </w:t>
      </w:r>
      <w:proofErr w:type="spellStart"/>
      <w:r w:rsidRPr="003249D9">
        <w:rPr>
          <w:rFonts w:asciiTheme="minorHAnsi" w:hAnsiTheme="minorHAnsi"/>
        </w:rPr>
        <w:t>eredménykimutatásban</w:t>
      </w:r>
      <w:proofErr w:type="spellEnd"/>
      <w:r w:rsidRPr="003249D9">
        <w:rPr>
          <w:rFonts w:asciiTheme="minorHAnsi" w:hAnsiTheme="minorHAnsi"/>
        </w:rPr>
        <w:t xml:space="preserve"> fel kell tüntetni vagy az értékvesztett eszköz értékében közvetlen csökkentésével vagy értékvesztési számla használatával.</w:t>
      </w:r>
      <w:r w:rsidR="00405471">
        <w:rPr>
          <w:rFonts w:asciiTheme="minorHAnsi" w:hAnsiTheme="minorHAnsi"/>
        </w:rPr>
        <w:t xml:space="preserve"> </w:t>
      </w:r>
      <w:r w:rsidRPr="003249D9">
        <w:rPr>
          <w:rFonts w:asciiTheme="minorHAnsi" w:hAnsiTheme="minorHAnsi"/>
        </w:rPr>
        <w:t xml:space="preserve">A társaságok saját hatáskörben dönthetnek számviteli irányelveikben és belső kockázatkezelési irányelveikben arról, hogy formálisan mikor kerüljön sor „leírásra”. Az </w:t>
      </w:r>
      <w:proofErr w:type="spellStart"/>
      <w:r w:rsidRPr="003249D9">
        <w:rPr>
          <w:rFonts w:asciiTheme="minorHAnsi" w:hAnsiTheme="minorHAnsi"/>
        </w:rPr>
        <w:t>IFRS-t</w:t>
      </w:r>
      <w:proofErr w:type="spellEnd"/>
      <w:r w:rsidRPr="003249D9">
        <w:rPr>
          <w:rFonts w:asciiTheme="minorHAnsi" w:hAnsiTheme="minorHAnsi"/>
        </w:rPr>
        <w:t xml:space="preserve"> alkalmazó országokban általánosan elfogadott gyakorlat azon kinnlevőségek leírása, amelyekhez nincs ésszerűen várható visszafizetés rendelve – a visszafizetési folyamat státuszától függetlenül.</w:t>
      </w:r>
      <w:r w:rsidR="00405471">
        <w:rPr>
          <w:rFonts w:asciiTheme="minorHAnsi" w:hAnsiTheme="minorHAnsi"/>
        </w:rPr>
        <w:t xml:space="preserve"> </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Az IFRS 9-es számviteli standardja (a pénzügyi instrumentumok könyvelésének új normája, amelyet 2014 júliusában dolgoztak ki, és 2018. január 1-jétől kezdődő jelentéstételi időszakokra nézve lép hatályba) az IAS 39-hez hasonló előírásokat tartalmaz az értékvesztési veszteségek könyvelése tekintetében – vagyis azok közvetlen vagy értékvesztési számlán keresztüli könyvelését.</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magyar számviteli szabályoknak az </w:t>
      </w:r>
      <w:proofErr w:type="spellStart"/>
      <w:r w:rsidRPr="003249D9">
        <w:rPr>
          <w:rFonts w:asciiTheme="minorHAnsi" w:hAnsiTheme="minorHAnsi"/>
        </w:rPr>
        <w:t>IFRS-szel</w:t>
      </w:r>
      <w:proofErr w:type="spellEnd"/>
      <w:r w:rsidRPr="003249D9">
        <w:rPr>
          <w:rFonts w:asciiTheme="minorHAnsi" w:hAnsiTheme="minorHAnsi"/>
        </w:rPr>
        <w:t xml:space="preserve"> történő harmonizációja céljával összhangban Magyarországnak mérlegelnie kellene a kinnlevőségek értékvesztésére és leírására érvényben lévő magyar számviteli szabályok módosítását az </w:t>
      </w:r>
      <w:proofErr w:type="spellStart"/>
      <w:r w:rsidRPr="003249D9">
        <w:rPr>
          <w:rFonts w:asciiTheme="minorHAnsi" w:hAnsiTheme="minorHAnsi"/>
        </w:rPr>
        <w:t>IFRS-szel</w:t>
      </w:r>
      <w:proofErr w:type="spellEnd"/>
      <w:r w:rsidRPr="003249D9">
        <w:rPr>
          <w:rFonts w:asciiTheme="minorHAnsi" w:hAnsiTheme="minorHAnsi"/>
        </w:rPr>
        <w:t xml:space="preserve"> való megfelelés érdekében. Az új szabályokat valamennyi társaságra vagy csak a bankokra nézve is bevezethetik.</w:t>
      </w:r>
    </w:p>
    <w:p w:rsidR="00BF6ACB" w:rsidRPr="003249D9" w:rsidRDefault="00AB7CFF" w:rsidP="009A73FD">
      <w:pPr>
        <w:pStyle w:val="TASTextheading1"/>
        <w:numPr>
          <w:ilvl w:val="0"/>
          <w:numId w:val="31"/>
        </w:numPr>
        <w:rPr>
          <w:rFonts w:asciiTheme="minorHAnsi" w:hAnsiTheme="minorHAnsi"/>
        </w:rPr>
      </w:pPr>
      <w:r w:rsidRPr="003249D9">
        <w:rPr>
          <w:rFonts w:asciiTheme="minorHAnsi" w:hAnsiTheme="minorHAnsi"/>
        </w:rPr>
        <w:t xml:space="preserve">MAGYARORSZÁGRA VONATKOZÓ SAJÁTOS MEGOLDÁSOK AZONOSÍTÁSA, MELYEKET KORÁBBAN MÉG NEM ALKALMAZTAK AZ EU-BAN, </w:t>
      </w:r>
      <w:proofErr w:type="gramStart"/>
      <w:r w:rsidRPr="003249D9">
        <w:rPr>
          <w:rFonts w:asciiTheme="minorHAnsi" w:hAnsiTheme="minorHAnsi"/>
        </w:rPr>
        <w:t>AZONBAN</w:t>
      </w:r>
      <w:proofErr w:type="gramEnd"/>
      <w:r w:rsidRPr="003249D9">
        <w:rPr>
          <w:rFonts w:asciiTheme="minorHAnsi" w:hAnsiTheme="minorHAnsi"/>
        </w:rPr>
        <w:t xml:space="preserve"> A SAJÁTOS MAGYAR ADÓZÁSI ÉS SZÁMVITELI KERETRE ALKALMAZHATÓ</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jelen fejezet azokat a nehézségeket tárgyalja, amelyekre más EU-s országokban megoldást találtak, illetve ezeket a megoldásokat ismerteti.</w:t>
      </w:r>
    </w:p>
    <w:p w:rsidR="00BF6ACB" w:rsidRPr="003249D9" w:rsidRDefault="00AB7CFF" w:rsidP="009A73FD">
      <w:pPr>
        <w:pStyle w:val="TASTextheading2"/>
        <w:numPr>
          <w:ilvl w:val="1"/>
          <w:numId w:val="31"/>
        </w:numPr>
        <w:rPr>
          <w:rFonts w:asciiTheme="minorHAnsi" w:hAnsiTheme="minorHAnsi"/>
        </w:rPr>
      </w:pPr>
      <w:r w:rsidRPr="003249D9">
        <w:rPr>
          <w:rFonts w:asciiTheme="minorHAnsi" w:hAnsiTheme="minorHAnsi"/>
        </w:rPr>
        <w:t>A kinnlevőségek értékesítése</w:t>
      </w:r>
    </w:p>
    <w:p w:rsidR="00BF6ACB" w:rsidRPr="003249D9" w:rsidRDefault="00AB7CFF" w:rsidP="00BF6ACB">
      <w:pPr>
        <w:pStyle w:val="TASTextheading3"/>
        <w:rPr>
          <w:rFonts w:asciiTheme="minorHAnsi" w:hAnsiTheme="minorHAnsi"/>
        </w:rPr>
      </w:pPr>
      <w:r w:rsidRPr="003249D9">
        <w:rPr>
          <w:rFonts w:asciiTheme="minorHAnsi" w:hAnsiTheme="minorHAnsi"/>
        </w:rPr>
        <w:t xml:space="preserve">Az </w:t>
      </w:r>
      <w:proofErr w:type="spellStart"/>
      <w:r w:rsidRPr="003249D9">
        <w:rPr>
          <w:rFonts w:asciiTheme="minorHAnsi" w:hAnsiTheme="minorHAnsi"/>
        </w:rPr>
        <w:t>NPL-ek</w:t>
      </w:r>
      <w:proofErr w:type="spellEnd"/>
      <w:r w:rsidRPr="003249D9">
        <w:rPr>
          <w:rFonts w:asciiTheme="minorHAnsi" w:hAnsiTheme="minorHAnsi"/>
        </w:rPr>
        <w:t xml:space="preserve"> felszámolását hátráltató tényezők: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Azokban az esetekben, amikor az </w:t>
      </w:r>
      <w:proofErr w:type="spellStart"/>
      <w:r w:rsidRPr="003249D9">
        <w:rPr>
          <w:rFonts w:asciiTheme="minorHAnsi" w:hAnsiTheme="minorHAnsi"/>
        </w:rPr>
        <w:t>NPL-ek</w:t>
      </w:r>
      <w:proofErr w:type="spellEnd"/>
      <w:r w:rsidRPr="003249D9">
        <w:rPr>
          <w:rFonts w:asciiTheme="minorHAnsi" w:hAnsiTheme="minorHAnsi"/>
        </w:rPr>
        <w:t xml:space="preserve"> felvásárlója egy magyar vállalatot bíz meg az </w:t>
      </w:r>
      <w:proofErr w:type="spellStart"/>
      <w:r w:rsidRPr="003249D9">
        <w:rPr>
          <w:rFonts w:asciiTheme="minorHAnsi" w:hAnsiTheme="minorHAnsi"/>
        </w:rPr>
        <w:t>NPL-ek</w:t>
      </w:r>
      <w:proofErr w:type="spellEnd"/>
      <w:r w:rsidRPr="003249D9">
        <w:rPr>
          <w:rFonts w:asciiTheme="minorHAnsi" w:hAnsiTheme="minorHAnsi"/>
        </w:rPr>
        <w:t xml:space="preserve"> behajtásával és kezelésével, a szolgáltatási díj áfa kezelését illető bizonytalanság nehézségeket okozhat a kinnlevőségek felvásárlója számára. (Általános szabályként a behajtási tevékenységért járó szolgáltatási díj áfa köteles, míg a követelés kezeléséhez kapcsolódó szolgáltatási díj bizonyos esetekben lehet áfa </w:t>
      </w:r>
      <w:proofErr w:type="gramStart"/>
      <w:r w:rsidRPr="003249D9">
        <w:rPr>
          <w:rFonts w:asciiTheme="minorHAnsi" w:hAnsiTheme="minorHAnsi"/>
        </w:rPr>
        <w:t>mentes</w:t>
      </w:r>
      <w:proofErr w:type="gramEnd"/>
      <w:r w:rsidRPr="003249D9">
        <w:rPr>
          <w:rFonts w:asciiTheme="minorHAnsi" w:hAnsiTheme="minorHAnsi"/>
        </w:rPr>
        <w:t>.</w:t>
      </w:r>
    </w:p>
    <w:p w:rsidR="00BF6ACB" w:rsidRPr="003249D9" w:rsidRDefault="00AB7CFF" w:rsidP="00BF6ACB">
      <w:pPr>
        <w:pStyle w:val="TASTextheading3"/>
        <w:rPr>
          <w:rFonts w:asciiTheme="minorHAnsi" w:hAnsiTheme="minorHAnsi"/>
        </w:rPr>
      </w:pPr>
      <w:r w:rsidRPr="003249D9">
        <w:rPr>
          <w:rFonts w:asciiTheme="minorHAnsi" w:hAnsiTheme="minorHAnsi"/>
        </w:rPr>
        <w:t>Potenciális megoldás:</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Nemzetgazdasági Minisztériumnak egy állásfoglalást kellene publikálnia, mely leírja, hogy a Minisztérium hogyan értelmezi a vonatkozó áfa szabályokat.</w:t>
      </w:r>
    </w:p>
    <w:p w:rsidR="00BF6ACB" w:rsidRPr="003249D9" w:rsidRDefault="00AB7CFF" w:rsidP="009A73FD">
      <w:pPr>
        <w:pStyle w:val="TASTextheading2"/>
        <w:numPr>
          <w:ilvl w:val="1"/>
          <w:numId w:val="31"/>
        </w:numPr>
        <w:rPr>
          <w:rFonts w:asciiTheme="minorHAnsi" w:hAnsiTheme="minorHAnsi"/>
        </w:rPr>
      </w:pPr>
      <w:r w:rsidRPr="003249D9">
        <w:rPr>
          <w:rFonts w:asciiTheme="minorHAnsi" w:hAnsiTheme="minorHAnsi"/>
        </w:rPr>
        <w:t>Adósság–tőkerész csere</w:t>
      </w:r>
    </w:p>
    <w:p w:rsidR="00BF6ACB" w:rsidRPr="003249D9" w:rsidRDefault="00AB7CFF" w:rsidP="00BF6ACB">
      <w:pPr>
        <w:pStyle w:val="TASTextheading3"/>
        <w:rPr>
          <w:rFonts w:asciiTheme="minorHAnsi" w:hAnsiTheme="minorHAnsi"/>
        </w:rPr>
      </w:pPr>
      <w:r w:rsidRPr="003249D9">
        <w:rPr>
          <w:rFonts w:asciiTheme="minorHAnsi" w:hAnsiTheme="minorHAnsi"/>
        </w:rPr>
        <w:t xml:space="preserve">Az </w:t>
      </w:r>
      <w:proofErr w:type="spellStart"/>
      <w:r w:rsidRPr="003249D9">
        <w:rPr>
          <w:rFonts w:asciiTheme="minorHAnsi" w:hAnsiTheme="minorHAnsi"/>
        </w:rPr>
        <w:t>NPL-ek</w:t>
      </w:r>
      <w:proofErr w:type="spellEnd"/>
      <w:r w:rsidRPr="003249D9">
        <w:rPr>
          <w:rFonts w:asciiTheme="minorHAnsi" w:hAnsiTheme="minorHAnsi"/>
        </w:rPr>
        <w:t xml:space="preserve"> felszámolását hátráltató tényezők: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2.4.2.4. részben tárgyaltak szerint az adósság átalakítása tőkévé társaságiadó-kötelezettséget eredményez az adós oldalán (ennek az oka az, hogy a hitel tőkeértéke szinte mindig magasabb a kibocsátott részvények értékénél), amely nem ellentételezhető teljes mértékben továbbvitt veszteségekkel.</w:t>
      </w:r>
    </w:p>
    <w:p w:rsidR="00BF6ACB" w:rsidRPr="003249D9" w:rsidRDefault="00AB7CFF" w:rsidP="00BF6ACB">
      <w:pPr>
        <w:pStyle w:val="TASTextheading3"/>
        <w:rPr>
          <w:rFonts w:asciiTheme="minorHAnsi" w:hAnsiTheme="minorHAnsi"/>
        </w:rPr>
      </w:pPr>
      <w:r w:rsidRPr="003249D9">
        <w:rPr>
          <w:rFonts w:asciiTheme="minorHAnsi" w:hAnsiTheme="minorHAnsi"/>
        </w:rPr>
        <w:t>Potenciális megoldások: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Magyarország szintén bevezethetné adós által, az adósság tőkévé történő átváltása eredményeképp könyvelt bevételre adómentességét akár általános adómentesség, akár korlátozott, csak azokra az esetekre érvényes adómentesség révén, amikor a hitelfelvevő fizetésképtelen és felszámolási eljárás alá vonták (az Egyesült </w:t>
      </w:r>
      <w:proofErr w:type="gramStart"/>
      <w:r w:rsidRPr="003249D9">
        <w:rPr>
          <w:rFonts w:asciiTheme="minorHAnsi" w:hAnsiTheme="minorHAnsi"/>
        </w:rPr>
        <w:t>Királyság hasonló</w:t>
      </w:r>
      <w:proofErr w:type="gramEnd"/>
      <w:r w:rsidRPr="003249D9">
        <w:rPr>
          <w:rFonts w:asciiTheme="minorHAnsi" w:hAnsiTheme="minorHAnsi"/>
        </w:rPr>
        <w:t xml:space="preserve"> adómentességet vezetett be), VAGY</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 társasági adóra vonatkozó szabályok módosításával az adós számára lehetővé lehetne tenni, hogy az adósság tőkévé történő átváltása eredményeképp könyvelt bevételt teljes mértékben ellentételezze továbbvitt veszteségekkel.</w:t>
      </w:r>
    </w:p>
    <w:p w:rsidR="00BF6ACB" w:rsidRPr="003249D9" w:rsidRDefault="00AB7CFF" w:rsidP="00BF6ACB">
      <w:pPr>
        <w:pStyle w:val="TASTextheading3"/>
        <w:rPr>
          <w:rFonts w:asciiTheme="minorHAnsi" w:hAnsiTheme="minorHAnsi"/>
        </w:rPr>
      </w:pPr>
      <w:r w:rsidRPr="003249D9">
        <w:rPr>
          <w:rFonts w:asciiTheme="minorHAnsi" w:hAnsiTheme="minorHAnsi"/>
        </w:rPr>
        <w:t xml:space="preserve">Az </w:t>
      </w:r>
      <w:proofErr w:type="spellStart"/>
      <w:r w:rsidRPr="003249D9">
        <w:rPr>
          <w:rFonts w:asciiTheme="minorHAnsi" w:hAnsiTheme="minorHAnsi"/>
        </w:rPr>
        <w:t>NPL-ek</w:t>
      </w:r>
      <w:proofErr w:type="spellEnd"/>
      <w:r w:rsidRPr="003249D9">
        <w:rPr>
          <w:rFonts w:asciiTheme="minorHAnsi" w:hAnsiTheme="minorHAnsi"/>
        </w:rPr>
        <w:t xml:space="preserve"> felszámolását hátráltató tényezők: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Az adósság tőkévé történő átváltásakor az adós társaságban </w:t>
      </w:r>
      <w:proofErr w:type="spellStart"/>
      <w:r w:rsidRPr="003249D9">
        <w:rPr>
          <w:rFonts w:asciiTheme="minorHAnsi" w:hAnsiTheme="minorHAnsi"/>
        </w:rPr>
        <w:t>restrukturálás</w:t>
      </w:r>
      <w:proofErr w:type="spellEnd"/>
      <w:r w:rsidRPr="003249D9">
        <w:rPr>
          <w:rFonts w:asciiTheme="minorHAnsi" w:hAnsiTheme="minorHAnsi"/>
        </w:rPr>
        <w:t xml:space="preserve"> során történő tulajdonszerzés konszolidációs nehézségeket eredményezhet a bank számára az IFRS 10 alapján.</w:t>
      </w:r>
    </w:p>
    <w:p w:rsidR="00BF6ACB" w:rsidRPr="003249D9" w:rsidRDefault="00AB7CFF" w:rsidP="00BF6ACB">
      <w:pPr>
        <w:pStyle w:val="TASTextheading3"/>
        <w:rPr>
          <w:rFonts w:asciiTheme="minorHAnsi" w:hAnsiTheme="minorHAnsi"/>
        </w:rPr>
      </w:pPr>
      <w:r w:rsidRPr="003249D9">
        <w:rPr>
          <w:rFonts w:asciiTheme="minorHAnsi" w:hAnsiTheme="minorHAnsi"/>
        </w:rPr>
        <w:lastRenderedPageBreak/>
        <w:t>Potenciális megoldások:</w:t>
      </w:r>
    </w:p>
    <w:p w:rsidR="00BF6ACB" w:rsidRDefault="00AB7CFF" w:rsidP="00EF41AC">
      <w:pPr>
        <w:pStyle w:val="TASBullet1"/>
        <w:numPr>
          <w:ilvl w:val="0"/>
          <w:numId w:val="32"/>
        </w:numPr>
        <w:rPr>
          <w:rFonts w:asciiTheme="minorHAnsi" w:hAnsiTheme="minorHAnsi"/>
        </w:rPr>
      </w:pPr>
      <w:r w:rsidRPr="003249D9">
        <w:rPr>
          <w:rFonts w:asciiTheme="minorHAnsi" w:hAnsiTheme="minorHAnsi"/>
        </w:rPr>
        <w:t xml:space="preserve">Véleményünk szerint a fenti IFRS norma </w:t>
      </w:r>
      <w:r w:rsidR="00EF41AC">
        <w:rPr>
          <w:rFonts w:asciiTheme="minorHAnsi" w:hAnsiTheme="minorHAnsi"/>
        </w:rPr>
        <w:t>nem</w:t>
      </w:r>
      <w:r w:rsidR="00EF41AC" w:rsidRPr="003249D9">
        <w:rPr>
          <w:rFonts w:asciiTheme="minorHAnsi" w:hAnsiTheme="minorHAnsi"/>
        </w:rPr>
        <w:t xml:space="preserve"> </w:t>
      </w:r>
      <w:r w:rsidRPr="003249D9">
        <w:rPr>
          <w:rFonts w:asciiTheme="minorHAnsi" w:hAnsiTheme="minorHAnsi"/>
        </w:rPr>
        <w:t xml:space="preserve">módosítható </w:t>
      </w:r>
      <w:r w:rsidR="00EF41AC">
        <w:rPr>
          <w:rFonts w:asciiTheme="minorHAnsi" w:hAnsiTheme="minorHAnsi"/>
        </w:rPr>
        <w:t>könnyen</w:t>
      </w:r>
      <w:r w:rsidR="00EF41AC" w:rsidRPr="003249D9">
        <w:rPr>
          <w:rFonts w:asciiTheme="minorHAnsi" w:hAnsiTheme="minorHAnsi"/>
        </w:rPr>
        <w:t xml:space="preserve"> </w:t>
      </w:r>
      <w:r w:rsidRPr="003249D9">
        <w:rPr>
          <w:rFonts w:asciiTheme="minorHAnsi" w:hAnsiTheme="minorHAnsi"/>
        </w:rPr>
        <w:t xml:space="preserve">úgy, hogy a </w:t>
      </w:r>
      <w:r w:rsidR="00EF41AC" w:rsidRPr="00EF41AC">
        <w:rPr>
          <w:rFonts w:asciiTheme="minorHAnsi" w:hAnsiTheme="minorHAnsi"/>
        </w:rPr>
        <w:t xml:space="preserve">hitelkövetelések tőkévé való konverziójának </w:t>
      </w:r>
      <w:r w:rsidRPr="003249D9">
        <w:rPr>
          <w:rFonts w:asciiTheme="minorHAnsi" w:hAnsiTheme="minorHAnsi"/>
        </w:rPr>
        <w:t xml:space="preserve">kedvezőbb kezelésére lehetőség nyíljon. </w:t>
      </w:r>
      <w:proofErr w:type="gramStart"/>
      <w:r w:rsidRPr="003249D9">
        <w:rPr>
          <w:rFonts w:asciiTheme="minorHAnsi" w:hAnsiTheme="minorHAnsi"/>
        </w:rPr>
        <w:t>Ennélfogva</w:t>
      </w:r>
      <w:proofErr w:type="gramEnd"/>
      <w:r w:rsidRPr="003249D9">
        <w:rPr>
          <w:rFonts w:asciiTheme="minorHAnsi" w:hAnsiTheme="minorHAnsi"/>
        </w:rPr>
        <w:t>, ezt a nehézséget nehéz lenne leküzdeni, vagyis az adósság tőkére történő átváltását várakozásaink szerint kevésbé gyakran alkalmaznák a jövőben.</w:t>
      </w:r>
    </w:p>
    <w:p w:rsidR="00EF41AC" w:rsidRDefault="00EF41AC" w:rsidP="00EF41AC">
      <w:pPr>
        <w:pStyle w:val="TASBullet1"/>
        <w:numPr>
          <w:ilvl w:val="0"/>
          <w:numId w:val="32"/>
        </w:numPr>
        <w:rPr>
          <w:rFonts w:asciiTheme="minorHAnsi" w:hAnsiTheme="minorHAnsi"/>
        </w:rPr>
      </w:pPr>
      <w:r>
        <w:rPr>
          <w:rFonts w:asciiTheme="minorHAnsi" w:hAnsiTheme="minorHAnsi"/>
        </w:rPr>
        <w:t xml:space="preserve">Mindazonáltal meg kellene vizsgálni, hogy a fenti standardot hogyan lehetne úgy megváltoztatni, hogy nem teljesítő hitelek esetében elősegítse a hitel tőkévé alakítását, és át kellene  gondolni milyen </w:t>
      </w:r>
      <w:proofErr w:type="gramStart"/>
      <w:r>
        <w:rPr>
          <w:rFonts w:asciiTheme="minorHAnsi" w:hAnsiTheme="minorHAnsi"/>
        </w:rPr>
        <w:t>hatással</w:t>
      </w:r>
      <w:proofErr w:type="gramEnd"/>
      <w:r>
        <w:rPr>
          <w:rFonts w:asciiTheme="minorHAnsi" w:hAnsiTheme="minorHAnsi"/>
        </w:rPr>
        <w:t xml:space="preserve"> van a standard megváltoztatása a számviteli transzparenciához fűződő közérdekre. </w:t>
      </w:r>
    </w:p>
    <w:p w:rsidR="00EF41AC" w:rsidRPr="003249D9" w:rsidRDefault="00EF41AC" w:rsidP="00EF41AC">
      <w:pPr>
        <w:pStyle w:val="TASBullet1"/>
        <w:numPr>
          <w:ilvl w:val="0"/>
          <w:numId w:val="32"/>
        </w:numPr>
        <w:rPr>
          <w:rFonts w:asciiTheme="minorHAnsi" w:hAnsiTheme="minorHAnsi"/>
        </w:rPr>
      </w:pPr>
      <w:r>
        <w:rPr>
          <w:rFonts w:asciiTheme="minorHAnsi" w:hAnsiTheme="minorHAnsi"/>
        </w:rPr>
        <w:t xml:space="preserve">Amennyiben sikerül olyan megoldást találni, amely kielégíti a közérdeket és elősegíti a nem teljesítő hitelekkel kapcsolatos problémák megoldását, e megoldást elő lehetne terjeszteni a nemzetközi beszámolási standardokat kezelő nemzetközi szervezetnél. </w:t>
      </w:r>
    </w:p>
    <w:p w:rsidR="00BF6ACB" w:rsidRPr="003249D9" w:rsidRDefault="00AB7CFF" w:rsidP="009A73FD">
      <w:pPr>
        <w:pStyle w:val="TASTextheading2"/>
        <w:numPr>
          <w:ilvl w:val="1"/>
          <w:numId w:val="31"/>
        </w:numPr>
        <w:rPr>
          <w:rFonts w:asciiTheme="minorHAnsi" w:hAnsiTheme="minorHAnsi"/>
        </w:rPr>
      </w:pPr>
      <w:r w:rsidRPr="003249D9">
        <w:rPr>
          <w:rFonts w:asciiTheme="minorHAnsi" w:hAnsiTheme="minorHAnsi"/>
        </w:rPr>
        <w:t>Ingatlan-tulajdonszerzés fedezet gyanánt</w:t>
      </w:r>
    </w:p>
    <w:p w:rsidR="00BF6ACB" w:rsidRPr="003249D9" w:rsidRDefault="00AB7CFF" w:rsidP="00BF6ACB">
      <w:pPr>
        <w:pStyle w:val="TASTextheading3"/>
        <w:rPr>
          <w:rFonts w:asciiTheme="minorHAnsi" w:hAnsiTheme="minorHAnsi"/>
        </w:rPr>
      </w:pPr>
      <w:r w:rsidRPr="003249D9">
        <w:rPr>
          <w:rFonts w:asciiTheme="minorHAnsi" w:hAnsiTheme="minorHAnsi"/>
        </w:rPr>
        <w:t xml:space="preserve">Az </w:t>
      </w:r>
      <w:proofErr w:type="spellStart"/>
      <w:r w:rsidRPr="003249D9">
        <w:rPr>
          <w:rFonts w:asciiTheme="minorHAnsi" w:hAnsiTheme="minorHAnsi"/>
        </w:rPr>
        <w:t>NPL-ek</w:t>
      </w:r>
      <w:proofErr w:type="spellEnd"/>
      <w:r w:rsidRPr="003249D9">
        <w:rPr>
          <w:rFonts w:asciiTheme="minorHAnsi" w:hAnsiTheme="minorHAnsi"/>
        </w:rPr>
        <w:t xml:space="preserve"> felszámolását hátráltató tényezők: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Amennyiben ingatlantulajdonra tesznek szert, visszterhes vagyonátruházási illetéket kell fizetni. A bankokat érintő törvény már tartalmaz egy olyan kedvező szabályt azokra az esetekre, amikor az ingatlant felszámolási vagy végrehajtási eljárás eredményeképp veszik át, mely szabály alacsonyabb adókulcsot (2%) állapít meg ezekre az esetekre, az adó azonban még így is jelentős összegeket tesz ki és az alacsonyabb adókulcs csak akkor alkalmazható, ha a bank vállalja, hogy az ingatlantól három éven belül megválik. </w:t>
      </w:r>
    </w:p>
    <w:p w:rsidR="00BF6ACB" w:rsidRPr="003249D9" w:rsidRDefault="00AB7CFF" w:rsidP="00BF6ACB">
      <w:pPr>
        <w:pStyle w:val="TASTextheading3"/>
        <w:rPr>
          <w:rFonts w:asciiTheme="minorHAnsi" w:hAnsiTheme="minorHAnsi"/>
        </w:rPr>
      </w:pPr>
      <w:r w:rsidRPr="003249D9">
        <w:rPr>
          <w:rFonts w:asciiTheme="minorHAnsi" w:hAnsiTheme="minorHAnsi"/>
        </w:rPr>
        <w:t>Potenciális megoldások: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Az adókedvezmény mértékének növelése teljes adómentesség bevezetésével ezekre az esetekre és/vagy a birtoklás megengedett időtartamának háromról hat évre történő növelésével (a vonatkozó pénzügyi szabályozások a bankoknak az ingatlan birtoklását legfeljebb hat évig engedélyezik).</w:t>
      </w:r>
    </w:p>
    <w:p w:rsidR="00BF6ACB" w:rsidRPr="003249D9" w:rsidRDefault="00AB7CFF" w:rsidP="00BF6ACB">
      <w:pPr>
        <w:pStyle w:val="TASTextheading3"/>
        <w:rPr>
          <w:rFonts w:asciiTheme="minorHAnsi" w:hAnsiTheme="minorHAnsi"/>
        </w:rPr>
      </w:pPr>
      <w:r w:rsidRPr="003249D9">
        <w:rPr>
          <w:rFonts w:asciiTheme="minorHAnsi" w:hAnsiTheme="minorHAnsi"/>
        </w:rPr>
        <w:t xml:space="preserve">Az </w:t>
      </w:r>
      <w:proofErr w:type="spellStart"/>
      <w:r w:rsidRPr="003249D9">
        <w:rPr>
          <w:rFonts w:asciiTheme="minorHAnsi" w:hAnsiTheme="minorHAnsi"/>
        </w:rPr>
        <w:t>NPL-ek</w:t>
      </w:r>
      <w:proofErr w:type="spellEnd"/>
      <w:r w:rsidRPr="003249D9">
        <w:rPr>
          <w:rFonts w:asciiTheme="minorHAnsi" w:hAnsiTheme="minorHAnsi"/>
        </w:rPr>
        <w:t xml:space="preserve"> felszámolását hátráltató tényezők: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 bankok által fedezetként megvásárolt ingatlanokra ingatlanadót kell fizetni akkor is, ha az ingatlant nem veszik használatba. </w:t>
      </w:r>
    </w:p>
    <w:p w:rsidR="00BF6ACB" w:rsidRPr="003249D9" w:rsidRDefault="00AB7CFF" w:rsidP="00BF6ACB">
      <w:pPr>
        <w:pStyle w:val="TASTextheading3"/>
        <w:rPr>
          <w:rFonts w:asciiTheme="minorHAnsi" w:hAnsiTheme="minorHAnsi"/>
        </w:rPr>
      </w:pPr>
      <w:r w:rsidRPr="003249D9">
        <w:rPr>
          <w:rFonts w:asciiTheme="minorHAnsi" w:hAnsiTheme="minorHAnsi"/>
        </w:rPr>
        <w:t>Potenciális megoldások: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Az adómentességet vagy alacsonyabb adókulcsot ideiglenesen is bevezethetnék (pl. a megengedett birtoklási időre az átruházási adó céljából) az olyan esetekben, amikor a bank felszámolási vagy végrehajtási eljárás eredményeképp veszi át az ingatlant.</w:t>
      </w:r>
    </w:p>
    <w:p w:rsidR="00BF6ACB" w:rsidRPr="003249D9" w:rsidRDefault="00AB7CFF" w:rsidP="009A73FD">
      <w:pPr>
        <w:pStyle w:val="TASTextheading2"/>
        <w:numPr>
          <w:ilvl w:val="1"/>
          <w:numId w:val="31"/>
        </w:numPr>
        <w:rPr>
          <w:rFonts w:asciiTheme="minorHAnsi" w:hAnsiTheme="minorHAnsi"/>
        </w:rPr>
      </w:pPr>
      <w:r w:rsidRPr="003249D9">
        <w:rPr>
          <w:rFonts w:asciiTheme="minorHAnsi" w:hAnsiTheme="minorHAnsi"/>
        </w:rPr>
        <w:t xml:space="preserve">Az </w:t>
      </w:r>
      <w:proofErr w:type="spellStart"/>
      <w:r w:rsidRPr="003249D9">
        <w:rPr>
          <w:rFonts w:asciiTheme="minorHAnsi" w:hAnsiTheme="minorHAnsi"/>
        </w:rPr>
        <w:t>NPL-ek</w:t>
      </w:r>
      <w:proofErr w:type="spellEnd"/>
      <w:r w:rsidRPr="003249D9">
        <w:rPr>
          <w:rFonts w:asciiTheme="minorHAnsi" w:hAnsiTheme="minorHAnsi"/>
        </w:rPr>
        <w:t xml:space="preserve"> felszámolását segítő adóösztönzők hiánya</w:t>
      </w:r>
    </w:p>
    <w:p w:rsidR="00BF6ACB" w:rsidRPr="003249D9" w:rsidRDefault="00AB7CFF" w:rsidP="00BF6ACB">
      <w:pPr>
        <w:pStyle w:val="TASTextheading3"/>
        <w:rPr>
          <w:rFonts w:asciiTheme="minorHAnsi" w:hAnsiTheme="minorHAnsi"/>
        </w:rPr>
      </w:pPr>
      <w:r w:rsidRPr="003249D9">
        <w:rPr>
          <w:rFonts w:asciiTheme="minorHAnsi" w:hAnsiTheme="minorHAnsi"/>
        </w:rPr>
        <w:t xml:space="preserve">Az </w:t>
      </w:r>
      <w:proofErr w:type="spellStart"/>
      <w:r w:rsidRPr="003249D9">
        <w:rPr>
          <w:rFonts w:asciiTheme="minorHAnsi" w:hAnsiTheme="minorHAnsi"/>
        </w:rPr>
        <w:t>NPL-ek</w:t>
      </w:r>
      <w:proofErr w:type="spellEnd"/>
      <w:r w:rsidRPr="003249D9">
        <w:rPr>
          <w:rFonts w:asciiTheme="minorHAnsi" w:hAnsiTheme="minorHAnsi"/>
        </w:rPr>
        <w:t xml:space="preserve"> felszámolását hátráltató tényezők: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Nincsenek olyan konkrét adóösztönzők, amelyek a magyarországi bankok </w:t>
      </w:r>
      <w:proofErr w:type="spellStart"/>
      <w:r w:rsidRPr="003249D9">
        <w:rPr>
          <w:rFonts w:asciiTheme="minorHAnsi" w:hAnsiTheme="minorHAnsi"/>
        </w:rPr>
        <w:t>NPL-portfoliójának</w:t>
      </w:r>
      <w:proofErr w:type="spellEnd"/>
      <w:r w:rsidRPr="003249D9">
        <w:rPr>
          <w:rFonts w:asciiTheme="minorHAnsi" w:hAnsiTheme="minorHAnsi"/>
        </w:rPr>
        <w:t xml:space="preserve"> csökkentését céloznák.</w:t>
      </w:r>
    </w:p>
    <w:p w:rsidR="00BF6ACB" w:rsidRPr="003249D9" w:rsidRDefault="00AB7CFF" w:rsidP="00BF6ACB">
      <w:pPr>
        <w:pStyle w:val="TASTextheading3"/>
        <w:rPr>
          <w:rFonts w:asciiTheme="minorHAnsi" w:hAnsiTheme="minorHAnsi"/>
        </w:rPr>
      </w:pPr>
      <w:r w:rsidRPr="003249D9">
        <w:rPr>
          <w:rFonts w:asciiTheme="minorHAnsi" w:hAnsiTheme="minorHAnsi"/>
        </w:rPr>
        <w:t>Potenciális megoldások:</w:t>
      </w:r>
    </w:p>
    <w:p w:rsidR="00BF6ACB" w:rsidRPr="003249D9" w:rsidRDefault="00AB7CFF" w:rsidP="009A73FD">
      <w:pPr>
        <w:pStyle w:val="TASBullet1"/>
        <w:numPr>
          <w:ilvl w:val="0"/>
          <w:numId w:val="32"/>
        </w:numPr>
        <w:rPr>
          <w:rFonts w:asciiTheme="minorHAnsi" w:hAnsiTheme="minorHAnsi"/>
        </w:rPr>
      </w:pPr>
      <w:r w:rsidRPr="003249D9">
        <w:rPr>
          <w:rFonts w:asciiTheme="minorHAnsi" w:hAnsiTheme="minorHAnsi"/>
        </w:rPr>
        <w:t xml:space="preserve">Az alábbi adóösztönzőt vezethetnék be az </w:t>
      </w:r>
      <w:proofErr w:type="spellStart"/>
      <w:r w:rsidRPr="003249D9">
        <w:rPr>
          <w:rFonts w:asciiTheme="minorHAnsi" w:hAnsiTheme="minorHAnsi"/>
        </w:rPr>
        <w:t>NPL-ek</w:t>
      </w:r>
      <w:proofErr w:type="spellEnd"/>
      <w:r w:rsidRPr="003249D9">
        <w:rPr>
          <w:rFonts w:asciiTheme="minorHAnsi" w:hAnsiTheme="minorHAnsi"/>
        </w:rPr>
        <w:t xml:space="preserve"> felszámolásának elősegítése érdekében:</w:t>
      </w:r>
    </w:p>
    <w:p w:rsidR="00EF41AC" w:rsidRPr="003249D9" w:rsidRDefault="00AB7CFF" w:rsidP="00EF41AC">
      <w:pPr>
        <w:pStyle w:val="TASBullet2"/>
        <w:numPr>
          <w:ilvl w:val="1"/>
          <w:numId w:val="32"/>
        </w:numPr>
        <w:rPr>
          <w:rFonts w:asciiTheme="minorHAnsi" w:hAnsiTheme="minorHAnsi"/>
        </w:rPr>
      </w:pPr>
      <w:r w:rsidRPr="003249D9">
        <w:rPr>
          <w:rFonts w:asciiTheme="minorHAnsi" w:hAnsiTheme="minorHAnsi"/>
        </w:rPr>
        <w:t xml:space="preserve">A bank által értékesített/leírt </w:t>
      </w:r>
      <w:proofErr w:type="spellStart"/>
      <w:r w:rsidRPr="003249D9">
        <w:rPr>
          <w:rFonts w:asciiTheme="minorHAnsi" w:hAnsiTheme="minorHAnsi"/>
        </w:rPr>
        <w:t>NPL-portfolió</w:t>
      </w:r>
      <w:proofErr w:type="spellEnd"/>
      <w:r w:rsidRPr="003249D9">
        <w:rPr>
          <w:rFonts w:asciiTheme="minorHAnsi" w:hAnsiTheme="minorHAnsi"/>
        </w:rPr>
        <w:t xml:space="preserve"> kapcsán könyvelt veszteség egy adott százaléka csökkenthetné a pénzintézet bankadó-fizetési kötelezettségét. Voltak példák arra, amikor a kormány a bankadóra adókedvezményt biztosított a magyarországi devizahitelek válságának megoldása érdekében. Hasonló megközelítés hasonló megfogalmazás mellett nem lenne szokatlan sem a bankok, sem pedig az adóhatóságok számára, és emiatt viszonylag könnyű és egyszerű lenne bevezetni és a betartását felügyelni. Korábban a veszteségek 30%-a volt adókedvezményként figyelembe vehető. A vonatkozó számítások könnyen elvégezhetők és a költségvetésre gyakorolt hatások is pontosan megtervezethetők lennének.</w:t>
      </w:r>
      <w:r w:rsidR="00EF41AC">
        <w:rPr>
          <w:rFonts w:asciiTheme="minorHAnsi" w:hAnsiTheme="minorHAnsi"/>
        </w:rPr>
        <w:t xml:space="preserve"> Mivel a kedvezmények </w:t>
      </w:r>
      <w:r w:rsidR="007206FC">
        <w:rPr>
          <w:rFonts w:asciiTheme="minorHAnsi" w:hAnsiTheme="minorHAnsi"/>
        </w:rPr>
        <w:t xml:space="preserve">körének meghatározása és a vonatkozó szabályok </w:t>
      </w:r>
      <w:r w:rsidR="00EF41AC">
        <w:rPr>
          <w:rFonts w:asciiTheme="minorHAnsi" w:hAnsiTheme="minorHAnsi"/>
        </w:rPr>
        <w:t xml:space="preserve">megszövegezése teljes mértékben a magyar törvényalkotó kezében van, a kedvezmények könnyedén szűkíthetőek a vállalati nem teljesítő hitel portfoliókra, kizárva ezzel a lakossági portfoliókat, amennyiben a Kormány ezt a megoldást támogatja. </w:t>
      </w:r>
    </w:p>
    <w:p w:rsidR="00BF6ACB" w:rsidRPr="003249D9" w:rsidRDefault="00BF6ACB" w:rsidP="009A73FD">
      <w:pPr>
        <w:pStyle w:val="TASBullet2"/>
        <w:numPr>
          <w:ilvl w:val="1"/>
          <w:numId w:val="32"/>
        </w:numPr>
        <w:rPr>
          <w:rFonts w:asciiTheme="minorHAnsi" w:hAnsiTheme="minorHAnsi"/>
        </w:rPr>
      </w:pPr>
    </w:p>
    <w:p w:rsidR="001872F1" w:rsidRPr="003249D9" w:rsidRDefault="001872F1" w:rsidP="009A73FD">
      <w:pPr>
        <w:pStyle w:val="TASBullet2"/>
        <w:numPr>
          <w:ilvl w:val="1"/>
          <w:numId w:val="32"/>
        </w:numPr>
        <w:rPr>
          <w:rFonts w:asciiTheme="minorHAnsi" w:hAnsiTheme="minorHAnsi"/>
        </w:rPr>
        <w:sectPr w:rsidR="001872F1" w:rsidRPr="003249D9" w:rsidSect="00BF6ACB">
          <w:headerReference w:type="default" r:id="rId68"/>
          <w:footerReference w:type="default" r:id="rId69"/>
          <w:pgSz w:w="11907" w:h="16839" w:code="9"/>
          <w:pgMar w:top="2304" w:right="792" w:bottom="1022" w:left="792" w:header="605" w:footer="706" w:gutter="0"/>
          <w:cols w:space="720"/>
          <w:docGrid w:linePitch="360"/>
        </w:sectPr>
      </w:pPr>
    </w:p>
    <w:p w:rsidR="00BF6ACB" w:rsidRPr="003249D9" w:rsidRDefault="00AB7CFF" w:rsidP="00BF6ACB">
      <w:pPr>
        <w:pStyle w:val="TASSectiontitle"/>
        <w:framePr w:wrap="around"/>
        <w:rPr>
          <w:rFonts w:asciiTheme="minorHAnsi" w:hAnsiTheme="minorHAnsi"/>
        </w:rPr>
      </w:pPr>
      <w:bookmarkStart w:id="21" w:name="_Toc401154923"/>
      <w:bookmarkStart w:id="22" w:name="_Toc403750026"/>
      <w:r w:rsidRPr="003249D9">
        <w:rPr>
          <w:rFonts w:asciiTheme="minorHAnsi" w:hAnsiTheme="minorHAnsi"/>
        </w:rPr>
        <w:lastRenderedPageBreak/>
        <w:t>Jogi háttér</w:t>
      </w:r>
      <w:bookmarkEnd w:id="21"/>
      <w:bookmarkEnd w:id="22"/>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sdt>
      <w:sdtPr>
        <w:rPr>
          <w:rFonts w:asciiTheme="minorHAnsi" w:hAnsiTheme="minorHAnsi"/>
        </w:rPr>
        <w:alias w:val="TAS Subsection TOC"/>
        <w:tag w:val="TASSubsectionTOC"/>
        <w:id w:val="357399255"/>
      </w:sdtPr>
      <w:sdtContent>
        <w:p w:rsidR="00BF6ACB" w:rsidRPr="003249D9" w:rsidRDefault="00AB7CFF" w:rsidP="009A73FD">
          <w:pPr>
            <w:pStyle w:val="TASTOC3"/>
            <w:numPr>
              <w:ilvl w:val="0"/>
              <w:numId w:val="35"/>
            </w:numPr>
            <w:rPr>
              <w:rFonts w:asciiTheme="minorHAnsi" w:hAnsiTheme="minorHAnsi"/>
            </w:rPr>
          </w:pPr>
          <w:r w:rsidRPr="003249D9">
            <w:rPr>
              <w:rFonts w:asciiTheme="minorHAnsi" w:hAnsiTheme="minorHAnsi"/>
            </w:rPr>
            <w:t>Jogi háttér</w:t>
          </w:r>
        </w:p>
      </w:sdtContent>
    </w:sdt>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sectPr w:rsidR="00BF6ACB" w:rsidRPr="003249D9" w:rsidSect="00BF6ACB">
          <w:headerReference w:type="default" r:id="rId70"/>
          <w:footerReference w:type="default" r:id="rId71"/>
          <w:headerReference w:type="first" r:id="rId72"/>
          <w:footerReference w:type="first" r:id="rId73"/>
          <w:pgSz w:w="11906" w:h="16838" w:code="9"/>
          <w:pgMar w:top="2304" w:right="792" w:bottom="792" w:left="792" w:header="605" w:footer="706" w:gutter="0"/>
          <w:cols w:space="708"/>
          <w:docGrid w:linePitch="360"/>
        </w:sectPr>
      </w:pPr>
    </w:p>
    <w:p w:rsidR="00BF6ACB" w:rsidRPr="003249D9" w:rsidRDefault="00AB7CFF">
      <w:pPr>
        <w:pStyle w:val="TASSubsection"/>
        <w:framePr w:wrap="around"/>
        <w:rPr>
          <w:rFonts w:asciiTheme="minorHAnsi" w:hAnsiTheme="minorHAnsi"/>
        </w:rPr>
      </w:pPr>
      <w:bookmarkStart w:id="23" w:name="_Toc401154924"/>
      <w:bookmarkStart w:id="24" w:name="_Toc403750027"/>
      <w:r w:rsidRPr="003249D9">
        <w:rPr>
          <w:rFonts w:asciiTheme="minorHAnsi" w:hAnsiTheme="minorHAnsi"/>
        </w:rPr>
        <w:lastRenderedPageBreak/>
        <w:t>Jogi háttér</w:t>
      </w:r>
      <w:bookmarkEnd w:id="23"/>
      <w:bookmarkEnd w:id="24"/>
    </w:p>
    <w:p w:rsidR="00BF6ACB" w:rsidRPr="003249D9" w:rsidRDefault="00AB7CFF" w:rsidP="00BF6ACB">
      <w:pPr>
        <w:pStyle w:val="TASStraplinefirst"/>
        <w:framePr w:wrap="notBeside"/>
        <w:rPr>
          <w:rFonts w:asciiTheme="minorHAnsi" w:hAnsiTheme="minorHAnsi"/>
        </w:rPr>
      </w:pPr>
      <w:r w:rsidRPr="003249D9">
        <w:rPr>
          <w:rFonts w:asciiTheme="minorHAnsi" w:hAnsiTheme="minorHAnsi"/>
        </w:rPr>
        <w:t>A jogi környezet leírása</w:t>
      </w:r>
    </w:p>
    <w:p w:rsidR="00BF6ACB" w:rsidRPr="003249D9" w:rsidRDefault="00AB7CFF" w:rsidP="009A73FD">
      <w:pPr>
        <w:pStyle w:val="TASTextheading1"/>
        <w:numPr>
          <w:ilvl w:val="0"/>
          <w:numId w:val="34"/>
        </w:numPr>
        <w:rPr>
          <w:rFonts w:asciiTheme="minorHAnsi" w:hAnsiTheme="minorHAnsi"/>
        </w:rPr>
      </w:pPr>
      <w:r w:rsidRPr="003249D9">
        <w:rPr>
          <w:rFonts w:asciiTheme="minorHAnsi" w:hAnsiTheme="minorHAnsi"/>
        </w:rPr>
        <w:t xml:space="preserve">BEVEZETÉS </w:t>
      </w:r>
    </w:p>
    <w:p w:rsidR="00BF6ACB" w:rsidRPr="003249D9" w:rsidRDefault="00AB7CFF" w:rsidP="009A73FD">
      <w:pPr>
        <w:pStyle w:val="TASTextheading2"/>
        <w:numPr>
          <w:ilvl w:val="1"/>
          <w:numId w:val="34"/>
        </w:numPr>
        <w:rPr>
          <w:rFonts w:asciiTheme="minorHAnsi" w:hAnsiTheme="minorHAnsi"/>
        </w:rPr>
      </w:pPr>
      <w:r w:rsidRPr="003249D9">
        <w:rPr>
          <w:rFonts w:asciiTheme="minorHAnsi" w:hAnsiTheme="minorHAnsi"/>
        </w:rPr>
        <w:t>A hitelezők számára a követeléseik érvényesítésére rendelkezésre álló lehetőségek</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2009 óta a hitelezőnek módjában áll fizetési meghagyásos eljárást kezdeményezni közjegyző bevonásával. Amennyiben az adós tizenöt napon belül nem nyújt be </w:t>
      </w:r>
      <w:r w:rsidR="005C64A9">
        <w:rPr>
          <w:rFonts w:asciiTheme="minorHAnsi" w:hAnsiTheme="minorHAnsi"/>
        </w:rPr>
        <w:t>ellentmondás</w:t>
      </w:r>
      <w:r w:rsidR="00F15A89">
        <w:rPr>
          <w:rFonts w:asciiTheme="minorHAnsi" w:hAnsiTheme="minorHAnsi"/>
        </w:rPr>
        <w:t>t</w:t>
      </w:r>
      <w:r w:rsidRPr="003249D9">
        <w:rPr>
          <w:rFonts w:asciiTheme="minorHAnsi" w:hAnsiTheme="minorHAnsi"/>
        </w:rPr>
        <w:t xml:space="preserve">, a fizetési meghagyás jogerőre </w:t>
      </w:r>
      <w:proofErr w:type="gramStart"/>
      <w:r w:rsidRPr="003249D9">
        <w:rPr>
          <w:rFonts w:asciiTheme="minorHAnsi" w:hAnsiTheme="minorHAnsi"/>
        </w:rPr>
        <w:t>emelkedik</w:t>
      </w:r>
      <w:proofErr w:type="gramEnd"/>
      <w:r w:rsidRPr="003249D9">
        <w:rPr>
          <w:rFonts w:asciiTheme="minorHAnsi" w:hAnsiTheme="minorHAnsi"/>
        </w:rPr>
        <w:t xml:space="preserve"> és kötelező erejűvé válik, és ezt követően végrehajtható. A fizetési meghagyásos eljárás az adósságbehajtás leggyakoribb módszerévé vált, és viszonylag egyszerű, gyors és nem költséges eljárást jelent. Ez az eljárás a 400 millió forintot (kb. 1,3 millió euró) nem meghaladó követelésekre alkalmazható. Ha azonban az adós </w:t>
      </w:r>
      <w:r w:rsidR="00B82679">
        <w:rPr>
          <w:rFonts w:asciiTheme="minorHAnsi" w:hAnsiTheme="minorHAnsi"/>
        </w:rPr>
        <w:t>ellentmondást</w:t>
      </w:r>
      <w:r w:rsidR="00B82679" w:rsidRPr="003249D9">
        <w:rPr>
          <w:rFonts w:asciiTheme="minorHAnsi" w:hAnsiTheme="minorHAnsi"/>
        </w:rPr>
        <w:t xml:space="preserve"> </w:t>
      </w:r>
      <w:r w:rsidRPr="003249D9">
        <w:rPr>
          <w:rFonts w:asciiTheme="minorHAnsi" w:hAnsiTheme="minorHAnsi"/>
        </w:rPr>
        <w:t xml:space="preserve">nyújt be a fizetési meghagyás ellen, az eljárás </w:t>
      </w:r>
      <w:r w:rsidR="00CA0E0A">
        <w:rPr>
          <w:rFonts w:asciiTheme="minorHAnsi" w:hAnsiTheme="minorHAnsi"/>
        </w:rPr>
        <w:t>az ellentmondással érintett részben perré alakul át</w:t>
      </w:r>
      <w:r w:rsidRPr="003249D9">
        <w:rPr>
          <w:rFonts w:asciiTheme="minorHAnsi" w:hAnsiTheme="minorHAnsi"/>
        </w:rPr>
        <w:t xml:space="preserve">, </w:t>
      </w:r>
      <w:r w:rsidR="006451F9">
        <w:rPr>
          <w:rFonts w:asciiTheme="minorHAnsi" w:hAnsiTheme="minorHAnsi"/>
        </w:rPr>
        <w:t>amely</w:t>
      </w:r>
      <w:r w:rsidRPr="003249D9">
        <w:rPr>
          <w:rFonts w:asciiTheme="minorHAnsi" w:hAnsiTheme="minorHAnsi"/>
        </w:rPr>
        <w:t xml:space="preserve"> elhúzód</w:t>
      </w:r>
      <w:r w:rsidR="006451F9">
        <w:rPr>
          <w:rFonts w:asciiTheme="minorHAnsi" w:hAnsiTheme="minorHAnsi"/>
        </w:rPr>
        <w:t>hat</w:t>
      </w:r>
      <w:r w:rsidRPr="003249D9">
        <w:rPr>
          <w:rFonts w:asciiTheme="minorHAnsi" w:hAnsiTheme="minorHAnsi"/>
        </w:rPr>
        <w: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hitelező </w:t>
      </w:r>
      <w:r w:rsidR="00E54A7F" w:rsidRPr="003249D9">
        <w:rPr>
          <w:rFonts w:asciiTheme="minorHAnsi" w:hAnsiTheme="minorHAnsi"/>
        </w:rPr>
        <w:t xml:space="preserve">keresetet </w:t>
      </w:r>
      <w:r w:rsidRPr="003249D9">
        <w:rPr>
          <w:rFonts w:asciiTheme="minorHAnsi" w:hAnsiTheme="minorHAnsi"/>
        </w:rPr>
        <w:t>is benyújthat az illetékes bírósághoz, és kérelmezheti, hogy a bíróság utasítsa az adóst az adósság megfizetésére. Az ilyen peres eljárás a jogerős és kötelező erejű bírósági végzés kiadásával ér véget, melyet ezt követően végre lehet hajtani.</w:t>
      </w:r>
    </w:p>
    <w:p w:rsidR="00BF6ACB" w:rsidRPr="003249D9" w:rsidRDefault="00AB7CFF" w:rsidP="009A73FD">
      <w:pPr>
        <w:pStyle w:val="TASBullet1"/>
        <w:numPr>
          <w:ilvl w:val="0"/>
          <w:numId w:val="39"/>
        </w:numPr>
        <w:rPr>
          <w:rFonts w:asciiTheme="minorHAnsi" w:hAnsiTheme="minorHAnsi"/>
        </w:rPr>
      </w:pPr>
      <w:proofErr w:type="gramStart"/>
      <w:r w:rsidRPr="003249D9">
        <w:rPr>
          <w:rFonts w:asciiTheme="minorHAnsi" w:hAnsiTheme="minorHAnsi"/>
        </w:rPr>
        <w:t>Amennyiben a hitelező követelését köz</w:t>
      </w:r>
      <w:r w:rsidR="005C3B5F">
        <w:rPr>
          <w:rFonts w:asciiTheme="minorHAnsi" w:hAnsiTheme="minorHAnsi"/>
        </w:rPr>
        <w:t xml:space="preserve">jegyzői </w:t>
      </w:r>
      <w:r w:rsidRPr="003249D9">
        <w:rPr>
          <w:rFonts w:asciiTheme="minorHAnsi" w:hAnsiTheme="minorHAnsi"/>
        </w:rPr>
        <w:t>okiratba foglalták, és abban pontosan meghatározták többek között (1) a tartozás összegét, (2) a követelés jogcímét és (3) a fizetési kötelezettség lejárati dátumát, akkor a megadott lejárati dátumot követően a hitelezőnek jogában áll ‘</w:t>
      </w:r>
      <w:r w:rsidR="005938FB">
        <w:rPr>
          <w:rFonts w:asciiTheme="minorHAnsi" w:hAnsiTheme="minorHAnsi"/>
        </w:rPr>
        <w:t>közvetlen</w:t>
      </w:r>
      <w:r w:rsidR="005938FB" w:rsidRPr="003249D9">
        <w:rPr>
          <w:rFonts w:asciiTheme="minorHAnsi" w:hAnsiTheme="minorHAnsi"/>
        </w:rPr>
        <w:t xml:space="preserve">’ </w:t>
      </w:r>
      <w:r w:rsidRPr="003249D9">
        <w:rPr>
          <w:rFonts w:asciiTheme="minorHAnsi" w:hAnsiTheme="minorHAnsi"/>
        </w:rPr>
        <w:t>végrehajtási eljárást  kezdeményezni a köz</w:t>
      </w:r>
      <w:r w:rsidR="00FF7D1A">
        <w:rPr>
          <w:rFonts w:asciiTheme="minorHAnsi" w:hAnsiTheme="minorHAnsi"/>
        </w:rPr>
        <w:t xml:space="preserve">jegyzői </w:t>
      </w:r>
      <w:r w:rsidRPr="003249D9">
        <w:rPr>
          <w:rFonts w:asciiTheme="minorHAnsi" w:hAnsiTheme="minorHAnsi"/>
        </w:rPr>
        <w:t>okirat alapján (tehát anélkül, hogy előzetes</w:t>
      </w:r>
      <w:r w:rsidR="00AF792D">
        <w:rPr>
          <w:rFonts w:asciiTheme="minorHAnsi" w:hAnsiTheme="minorHAnsi"/>
        </w:rPr>
        <w:t>en</w:t>
      </w:r>
      <w:r w:rsidRPr="003249D9">
        <w:rPr>
          <w:rFonts w:asciiTheme="minorHAnsi" w:hAnsiTheme="minorHAnsi"/>
        </w:rPr>
        <w:t xml:space="preserve"> pert kellene indítania és folytatnia az adós ellen, és jogerős és </w:t>
      </w:r>
      <w:r w:rsidR="009D4590">
        <w:rPr>
          <w:rFonts w:asciiTheme="minorHAnsi" w:hAnsiTheme="minorHAnsi"/>
        </w:rPr>
        <w:t>végrehajtható</w:t>
      </w:r>
      <w:r w:rsidRPr="003249D9">
        <w:rPr>
          <w:rFonts w:asciiTheme="minorHAnsi" w:hAnsiTheme="minorHAnsi"/>
        </w:rPr>
        <w:t xml:space="preserve"> bírósági </w:t>
      </w:r>
      <w:r w:rsidR="009D4590">
        <w:rPr>
          <w:rFonts w:asciiTheme="minorHAnsi" w:hAnsiTheme="minorHAnsi"/>
        </w:rPr>
        <w:t>határozatot</w:t>
      </w:r>
      <w:r w:rsidR="009D4590" w:rsidRPr="003249D9">
        <w:rPr>
          <w:rFonts w:asciiTheme="minorHAnsi" w:hAnsiTheme="minorHAnsi"/>
        </w:rPr>
        <w:t xml:space="preserve"> </w:t>
      </w:r>
      <w:r w:rsidRPr="003249D9">
        <w:rPr>
          <w:rFonts w:asciiTheme="minorHAnsi" w:hAnsiTheme="minorHAnsi"/>
        </w:rPr>
        <w:t>kellene beszereznie).</w:t>
      </w:r>
      <w:proofErr w:type="gramEnd"/>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Biztosított adósság esetében a hitelező a biztosíték bírósági végrehajtás</w:t>
      </w:r>
      <w:r w:rsidR="00822095">
        <w:rPr>
          <w:rFonts w:asciiTheme="minorHAnsi" w:hAnsiTheme="minorHAnsi"/>
        </w:rPr>
        <w:t xml:space="preserve"> útján vagy bírósági végrehajtáson kívül történő érvényesítésével</w:t>
      </w:r>
      <w:r w:rsidRPr="003249D9">
        <w:rPr>
          <w:rFonts w:asciiTheme="minorHAnsi" w:hAnsiTheme="minorHAnsi"/>
        </w:rPr>
        <w:t xml:space="preserve"> is </w:t>
      </w:r>
      <w:r w:rsidR="00822095">
        <w:rPr>
          <w:rFonts w:asciiTheme="minorHAnsi" w:hAnsiTheme="minorHAnsi"/>
        </w:rPr>
        <w:t>kielégítheti a követelését</w:t>
      </w:r>
      <w:r w:rsidRPr="003249D9">
        <w:rPr>
          <w:rFonts w:asciiTheme="minorHAnsi" w:hAnsiTheme="minorHAnsi"/>
        </w:rPr>
        <w: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 hitelezők kezdeményezhetik az adós felszámolását is. A felszámolási eljárások kizárólagos jellegűek, ami azt jelenti, hogy ilyen eljárás alatt ugyanazon adós ellen nem folytatható párhuzamosan másik adósságbehajtási eljárás.</w:t>
      </w:r>
      <w:r w:rsidR="00405471">
        <w:rPr>
          <w:rFonts w:asciiTheme="minorHAnsi" w:hAnsiTheme="minorHAnsi"/>
        </w:rPr>
        <w:t xml:space="preserve"> </w:t>
      </w:r>
      <w:r w:rsidRPr="003249D9">
        <w:rPr>
          <w:rFonts w:asciiTheme="minorHAnsi" w:hAnsiTheme="minorHAnsi"/>
        </w:rPr>
        <w:t xml:space="preserve">A hitelezők nem </w:t>
      </w:r>
      <w:r w:rsidR="003B7FA8">
        <w:rPr>
          <w:rFonts w:asciiTheme="minorHAnsi" w:hAnsiTheme="minorHAnsi"/>
        </w:rPr>
        <w:t>kezdeményezhetnek az adós ellen csődeljárást</w:t>
      </w:r>
      <w:r w:rsidRPr="003249D9">
        <w:rPr>
          <w:rFonts w:asciiTheme="minorHAnsi" w:hAnsiTheme="minorHAnsi"/>
        </w:rPr>
        <w:t xml:space="preserve"> azzal a céllal</w:t>
      </w:r>
      <w:r w:rsidR="008813E3">
        <w:rPr>
          <w:rFonts w:asciiTheme="minorHAnsi" w:hAnsiTheme="minorHAnsi"/>
        </w:rPr>
        <w:t xml:space="preserve"> sem</w:t>
      </w:r>
      <w:r w:rsidRPr="003249D9">
        <w:rPr>
          <w:rFonts w:asciiTheme="minorHAnsi" w:hAnsiTheme="minorHAnsi"/>
        </w:rPr>
        <w:t xml:space="preserve">, hogy az adós átszervezését </w:t>
      </w:r>
      <w:r w:rsidR="002E0829">
        <w:rPr>
          <w:rFonts w:asciiTheme="minorHAnsi" w:hAnsiTheme="minorHAnsi"/>
        </w:rPr>
        <w:t>(</w:t>
      </w:r>
      <w:proofErr w:type="spellStart"/>
      <w:r w:rsidR="002E0829">
        <w:rPr>
          <w:rFonts w:asciiTheme="minorHAnsi" w:hAnsiTheme="minorHAnsi"/>
        </w:rPr>
        <w:t>restrukturálását</w:t>
      </w:r>
      <w:proofErr w:type="spellEnd"/>
      <w:r w:rsidR="002E0829">
        <w:rPr>
          <w:rFonts w:asciiTheme="minorHAnsi" w:hAnsiTheme="minorHAnsi"/>
        </w:rPr>
        <w:t xml:space="preserve">) </w:t>
      </w:r>
      <w:r w:rsidRPr="003249D9">
        <w:rPr>
          <w:rFonts w:asciiTheme="minorHAnsi" w:hAnsiTheme="minorHAnsi"/>
        </w:rPr>
        <w:t>kérjék.</w:t>
      </w:r>
      <w:r w:rsidR="00405471">
        <w:rPr>
          <w:rFonts w:asciiTheme="minorHAnsi" w:hAnsiTheme="minorHAnsi"/>
        </w:rPr>
        <w:t xml:space="preserve"> </w:t>
      </w:r>
      <w:r w:rsidRPr="003249D9">
        <w:rPr>
          <w:rFonts w:asciiTheme="minorHAnsi" w:hAnsiTheme="minorHAnsi"/>
        </w:rPr>
        <w:t>Ez kizárja a 'hitelező által irányított' átszervezést csőd esetén.</w:t>
      </w:r>
    </w:p>
    <w:p w:rsidR="00BF6ACB" w:rsidRPr="003249D9" w:rsidRDefault="00AB7CFF" w:rsidP="009A73FD">
      <w:pPr>
        <w:pStyle w:val="TASTextheading2"/>
        <w:numPr>
          <w:ilvl w:val="1"/>
          <w:numId w:val="34"/>
        </w:numPr>
        <w:rPr>
          <w:rFonts w:asciiTheme="minorHAnsi" w:hAnsiTheme="minorHAnsi"/>
        </w:rPr>
      </w:pPr>
      <w:r w:rsidRPr="003249D9">
        <w:rPr>
          <w:rFonts w:asciiTheme="minorHAnsi" w:hAnsiTheme="minorHAnsi"/>
        </w:rPr>
        <w:t>A fizetésképtelenségi eljárások terminológiája</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Magyarországon jelenleg kétféle fizetésképtelenségi eljárás áll rendelkezésre:</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A csődeljárás, amelyben a pénzügyi nehézségekkel küzdő adós megpróbál egyezséget kötni a hitelezőivel az adósságai átrendezéséről, miközben az adós és a részvényesei továbbra is irányítják az adós tevékenységét, melyet egy bíróság által kirendelt vagyonfelügyelő, és végső soron a bíróság felügyel; és </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A felszámolási eljárás, amelyben az adóst fizetésképtelennek nyilvánítják, és amely általában az adós </w:t>
      </w:r>
      <w:r w:rsidR="00133CBC">
        <w:rPr>
          <w:rFonts w:asciiTheme="minorHAnsi" w:hAnsiTheme="minorHAnsi"/>
        </w:rPr>
        <w:t xml:space="preserve">jogutód nélküli megszüntetésével és </w:t>
      </w:r>
      <w:r w:rsidRPr="003249D9">
        <w:rPr>
          <w:rFonts w:asciiTheme="minorHAnsi" w:hAnsiTheme="minorHAnsi"/>
        </w:rPr>
        <w:t xml:space="preserve">vagyonának </w:t>
      </w:r>
      <w:proofErr w:type="gramStart"/>
      <w:r w:rsidR="0016126E">
        <w:rPr>
          <w:rFonts w:asciiTheme="minorHAnsi" w:hAnsiTheme="minorHAnsi"/>
        </w:rPr>
        <w:t>értékesítésével</w:t>
      </w:r>
      <w:r w:rsidRPr="003249D9">
        <w:rPr>
          <w:rFonts w:asciiTheme="minorHAnsi" w:hAnsiTheme="minorHAnsi"/>
        </w:rPr>
        <w:t xml:space="preserve">  jár</w:t>
      </w:r>
      <w:proofErr w:type="gramEnd"/>
      <w:r w:rsidRPr="003249D9">
        <w:rPr>
          <w:rFonts w:asciiTheme="minorHAnsi" w:hAnsiTheme="minorHAnsi"/>
        </w:rPr>
        <w:t>. Az adós és a részvényesei elveszítik az ellenőrzésüket a vagyon és a teljes eljárás felett, melyet a bíróság által kinevezett felszámoló irányít, a törvényes felügyeletet pedig a bíróság gyakorolja.</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 fent említett eljárások alapvető lépéseit a B és a C mellékletekben található folyamatábrák mutatják be.</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Egyéb eljárások is eredményezhetik egy vállalkozás megszüntetését, de ezek nem tartoznak a Projekt hatálya alá, ilyenek például a következők:</w:t>
      </w:r>
    </w:p>
    <w:p w:rsidR="00BF6ACB" w:rsidRPr="003249D9" w:rsidRDefault="00B5384D" w:rsidP="009A73FD">
      <w:pPr>
        <w:pStyle w:val="TASBullet2"/>
        <w:numPr>
          <w:ilvl w:val="1"/>
          <w:numId w:val="39"/>
        </w:numPr>
        <w:rPr>
          <w:rFonts w:asciiTheme="minorHAnsi" w:hAnsiTheme="minorHAnsi"/>
        </w:rPr>
      </w:pPr>
      <w:r>
        <w:rPr>
          <w:rFonts w:asciiTheme="minorHAnsi" w:hAnsiTheme="minorHAnsi"/>
        </w:rPr>
        <w:t>V</w:t>
      </w:r>
      <w:r w:rsidR="00AB7CFF" w:rsidRPr="003249D9">
        <w:rPr>
          <w:rFonts w:asciiTheme="minorHAnsi" w:hAnsiTheme="minorHAnsi"/>
        </w:rPr>
        <w:t xml:space="preserve">égelszámolás, amikor egy fizetőképes vállalkozás a saját végelszámolása mellett dönt, és a vagyonát </w:t>
      </w:r>
      <w:r w:rsidR="00176816">
        <w:rPr>
          <w:rFonts w:asciiTheme="minorHAnsi" w:hAnsiTheme="minorHAnsi"/>
        </w:rPr>
        <w:t>a</w:t>
      </w:r>
      <w:r w:rsidR="00176816" w:rsidRPr="003249D9">
        <w:rPr>
          <w:rFonts w:asciiTheme="minorHAnsi" w:hAnsiTheme="minorHAnsi"/>
        </w:rPr>
        <w:t xml:space="preserve"> </w:t>
      </w:r>
      <w:r w:rsidR="00AB7CFF" w:rsidRPr="003249D9">
        <w:rPr>
          <w:rFonts w:asciiTheme="minorHAnsi" w:hAnsiTheme="minorHAnsi"/>
        </w:rPr>
        <w:t>végelszámoló elosztja a hitelezők és a tulajdonosok között, a törvényes felügyeletet pedig a cégbíróság gyakorolja; és</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Kényszertörlési eljárás, amelyet a cégbíróság kezdeményez és folytat le fizetésképtelenségi szakértő bevonása nélkül, amennyiben a vállalkozást meg kell szüntetni, de </w:t>
      </w:r>
      <w:proofErr w:type="spellStart"/>
      <w:r w:rsidRPr="003249D9">
        <w:rPr>
          <w:rFonts w:asciiTheme="minorHAnsi" w:hAnsiTheme="minorHAnsi"/>
        </w:rPr>
        <w:t>avégelszámolás</w:t>
      </w:r>
      <w:proofErr w:type="spellEnd"/>
      <w:r w:rsidRPr="003249D9">
        <w:rPr>
          <w:rFonts w:asciiTheme="minorHAnsi" w:hAnsiTheme="minorHAnsi"/>
        </w:rPr>
        <w:t xml:space="preserve"> nem alkalmazható vagy nem felel meg a törvényeknek.</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legnagyobb kereskedelmi bankok számos </w:t>
      </w:r>
      <w:proofErr w:type="spellStart"/>
      <w:r w:rsidR="00C60AE5">
        <w:rPr>
          <w:rFonts w:asciiTheme="minorHAnsi" w:hAnsiTheme="minorHAnsi"/>
        </w:rPr>
        <w:t>restrukturálási</w:t>
      </w:r>
      <w:proofErr w:type="spellEnd"/>
      <w:r w:rsidR="00C60AE5" w:rsidRPr="003249D9">
        <w:rPr>
          <w:rFonts w:asciiTheme="minorHAnsi" w:hAnsiTheme="minorHAnsi"/>
        </w:rPr>
        <w:t xml:space="preserve"> </w:t>
      </w:r>
      <w:r w:rsidRPr="003249D9">
        <w:rPr>
          <w:rFonts w:asciiTheme="minorHAnsi" w:hAnsiTheme="minorHAnsi"/>
        </w:rPr>
        <w:t xml:space="preserve">eszközt alkalmaznak konszenzusos alapon (lásd Az </w:t>
      </w:r>
      <w:proofErr w:type="spellStart"/>
      <w:r w:rsidRPr="003249D9">
        <w:rPr>
          <w:rFonts w:asciiTheme="minorHAnsi" w:hAnsiTheme="minorHAnsi"/>
        </w:rPr>
        <w:t>NPL-portfoliók</w:t>
      </w:r>
      <w:proofErr w:type="spellEnd"/>
      <w:r w:rsidRPr="003249D9">
        <w:rPr>
          <w:rFonts w:asciiTheme="minorHAnsi" w:hAnsiTheme="minorHAnsi"/>
        </w:rPr>
        <w:t xml:space="preserve"> kezelésének meghatározó tényezői szakaszt fent). A magyar törvények azonban jelenleg nem biztosítanak olyan hivatalos</w:t>
      </w:r>
      <w:r w:rsidR="00EA4746">
        <w:rPr>
          <w:rFonts w:asciiTheme="minorHAnsi" w:hAnsiTheme="minorHAnsi"/>
        </w:rPr>
        <w:t>, bíróságon kívüli</w:t>
      </w:r>
      <w:r w:rsidRPr="003249D9">
        <w:rPr>
          <w:rFonts w:asciiTheme="minorHAnsi" w:hAnsiTheme="minorHAnsi"/>
        </w:rPr>
        <w:t xml:space="preserve"> eljárást az adós pénzügyi </w:t>
      </w:r>
      <w:proofErr w:type="spellStart"/>
      <w:r w:rsidR="005C7F87">
        <w:rPr>
          <w:rFonts w:asciiTheme="minorHAnsi" w:hAnsiTheme="minorHAnsi"/>
        </w:rPr>
        <w:t>restrukturálására</w:t>
      </w:r>
      <w:proofErr w:type="spellEnd"/>
      <w:r w:rsidRPr="003249D9">
        <w:rPr>
          <w:rFonts w:asciiTheme="minorHAnsi" w:hAnsiTheme="minorHAnsi"/>
        </w:rPr>
        <w:t xml:space="preserve">, amely lehetővé tenné az adós és/vagy a részvényesei számára, hogy megtartsák az irányító szerepüket az adós és a hitelezők között folytatott tárgyalások alatt, miközben a hitelezők számára is nyújtana bizonyos törvényes garanciákat. </w:t>
      </w:r>
    </w:p>
    <w:p w:rsidR="00BF6ACB" w:rsidRPr="003249D9" w:rsidRDefault="00AB7CFF" w:rsidP="009A73FD">
      <w:pPr>
        <w:pStyle w:val="TASTextheading2"/>
        <w:numPr>
          <w:ilvl w:val="1"/>
          <w:numId w:val="34"/>
        </w:numPr>
        <w:rPr>
          <w:rFonts w:asciiTheme="minorHAnsi" w:hAnsiTheme="minorHAnsi"/>
        </w:rPr>
      </w:pPr>
      <w:r w:rsidRPr="003249D9">
        <w:rPr>
          <w:rFonts w:asciiTheme="minorHAnsi" w:hAnsiTheme="minorHAnsi"/>
        </w:rPr>
        <w:lastRenderedPageBreak/>
        <w:t>A fizetésképtelenségi eljárások hatálya</w:t>
      </w:r>
    </w:p>
    <w:p w:rsidR="00BF6ACB" w:rsidRPr="003249D9" w:rsidRDefault="00AC3A4E" w:rsidP="009A73FD">
      <w:pPr>
        <w:pStyle w:val="TASBullet1"/>
        <w:numPr>
          <w:ilvl w:val="0"/>
          <w:numId w:val="39"/>
        </w:numPr>
        <w:rPr>
          <w:rFonts w:asciiTheme="minorHAnsi" w:hAnsiTheme="minorHAnsi"/>
        </w:rPr>
      </w:pPr>
      <w:r>
        <w:rPr>
          <w:rFonts w:asciiTheme="minorHAnsi" w:hAnsiTheme="minorHAnsi"/>
        </w:rPr>
        <w:t>J</w:t>
      </w:r>
      <w:r w:rsidR="00AB7CFF" w:rsidRPr="003249D9">
        <w:rPr>
          <w:rFonts w:asciiTheme="minorHAnsi" w:hAnsiTheme="minorHAnsi"/>
        </w:rPr>
        <w:t xml:space="preserve">elenleg kizárólag jogi személyek lehetnek csőd- vagy felszámolási eljárások alanyai Magyarországon. </w:t>
      </w:r>
      <w:r w:rsidR="008C79AF">
        <w:rPr>
          <w:rFonts w:asciiTheme="minorHAnsi" w:hAnsiTheme="minorHAnsi"/>
        </w:rPr>
        <w:t>Természetes személyek</w:t>
      </w:r>
      <w:r w:rsidR="0037039D">
        <w:rPr>
          <w:rFonts w:asciiTheme="minorHAnsi" w:hAnsiTheme="minorHAnsi"/>
        </w:rPr>
        <w:t xml:space="preserve"> így nem tartoznak a Csődtörvény hatálya alá.</w:t>
      </w:r>
      <w:r w:rsidR="00204E9F">
        <w:rPr>
          <w:rStyle w:val="FootnoteReference"/>
          <w:rFonts w:asciiTheme="minorHAnsi" w:hAnsiTheme="minorHAnsi"/>
        </w:rPr>
        <w:footnoteReference w:id="5"/>
      </w:r>
      <w:r w:rsidR="0037039D">
        <w:rPr>
          <w:rFonts w:asciiTheme="minorHAnsi" w:hAnsiTheme="minorHAnsi"/>
        </w:rPr>
        <w:t xml:space="preserve"> </w:t>
      </w:r>
      <w:r w:rsidR="00AB7CFF" w:rsidRPr="003249D9">
        <w:rPr>
          <w:rFonts w:asciiTheme="minorHAnsi" w:hAnsiTheme="minorHAnsi"/>
        </w:rPr>
        <w:t>Bizonyos jogi személyekre eltérő rendelkezések vonatkoznak, például a pénzintézetekre és a stratégiailag kiemelt jelentőségű vállalatokra (lásd a jelen fejezet 6. szakaszát (</w:t>
      </w:r>
      <w:r w:rsidR="00AB7CFF" w:rsidRPr="00343723">
        <w:rPr>
          <w:rFonts w:asciiTheme="minorHAnsi" w:hAnsiTheme="minorHAnsi"/>
          <w:i/>
        </w:rPr>
        <w:t>A stratégiailag kiemelt jelentőségű gazdálkodó szervezetekre vonatkozó eltérő rendelkezések</w:t>
      </w:r>
      <w:r w:rsidR="00AB7CFF" w:rsidRPr="003249D9">
        <w:rPr>
          <w:rFonts w:asciiTheme="minorHAnsi" w:hAnsiTheme="minorHAnsi"/>
        </w:rPr>
        <w:t>)).</w:t>
      </w:r>
    </w:p>
    <w:p w:rsidR="00BF6ACB" w:rsidRPr="003249D9" w:rsidRDefault="00BF6ACB" w:rsidP="00BF6ACB">
      <w:pPr>
        <w:pStyle w:val="TASBullet1"/>
        <w:numPr>
          <w:ilvl w:val="0"/>
          <w:numId w:val="0"/>
        </w:numPr>
        <w:ind w:left="288"/>
        <w:rPr>
          <w:rFonts w:asciiTheme="minorHAnsi" w:hAnsiTheme="minorHAnsi"/>
        </w:rPr>
      </w:pPr>
    </w:p>
    <w:p w:rsidR="00BF6ACB" w:rsidRPr="003249D9" w:rsidRDefault="00934B48" w:rsidP="009A73FD">
      <w:pPr>
        <w:pStyle w:val="TASTextheading1"/>
        <w:numPr>
          <w:ilvl w:val="0"/>
          <w:numId w:val="34"/>
        </w:numPr>
        <w:rPr>
          <w:rFonts w:asciiTheme="minorHAnsi" w:hAnsiTheme="minorHAnsi"/>
        </w:rPr>
      </w:pPr>
      <w:r>
        <w:rPr>
          <w:rFonts w:asciiTheme="minorHAnsi" w:hAnsiTheme="minorHAnsi"/>
        </w:rPr>
        <w:t>A BANKOK ÁLTAL ALKALMAZOTT RESTRUKTURÁLÁSI</w:t>
      </w:r>
      <w:r w:rsidR="00AB7CFF" w:rsidRPr="003249D9">
        <w:rPr>
          <w:rFonts w:asciiTheme="minorHAnsi" w:hAnsiTheme="minorHAnsi"/>
        </w:rPr>
        <w:t xml:space="preserve"> INTÉZKEDÉSEK (A FIZETÉSKÉPTELENSÉGE</w:t>
      </w:r>
      <w:r w:rsidR="00D278C8">
        <w:rPr>
          <w:rFonts w:asciiTheme="minorHAnsi" w:hAnsiTheme="minorHAnsi"/>
        </w:rPr>
        <w:t>T MEGELŐZŐEN</w:t>
      </w:r>
      <w:r w:rsidR="00AB7CFF" w:rsidRPr="003249D9">
        <w:rPr>
          <w:rFonts w:asciiTheme="minorHAnsi" w:hAnsiTheme="minorHAnsi"/>
        </w:rPr>
        <w: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w:t>
      </w:r>
      <w:proofErr w:type="spellStart"/>
      <w:r w:rsidR="000145B7">
        <w:rPr>
          <w:rFonts w:asciiTheme="minorHAnsi" w:hAnsiTheme="minorHAnsi"/>
        </w:rPr>
        <w:t>restrukturálás</w:t>
      </w:r>
      <w:proofErr w:type="spellEnd"/>
      <w:r w:rsidR="000145B7" w:rsidRPr="003249D9">
        <w:rPr>
          <w:rFonts w:asciiTheme="minorHAnsi" w:hAnsiTheme="minorHAnsi"/>
        </w:rPr>
        <w:t xml:space="preserve"> </w:t>
      </w:r>
      <w:r w:rsidRPr="003249D9">
        <w:rPr>
          <w:rFonts w:asciiTheme="minorHAnsi" w:hAnsiTheme="minorHAnsi"/>
        </w:rPr>
        <w:t xml:space="preserve">a projekt átfogó jogi átvilágításával kezdődik. Ezt követően az alábbi </w:t>
      </w:r>
      <w:proofErr w:type="spellStart"/>
      <w:proofErr w:type="gramStart"/>
      <w:r w:rsidR="00B40102">
        <w:rPr>
          <w:rFonts w:asciiTheme="minorHAnsi" w:hAnsiTheme="minorHAnsi"/>
        </w:rPr>
        <w:t>restrukturálást</w:t>
      </w:r>
      <w:proofErr w:type="spellEnd"/>
      <w:r w:rsidR="00B40102" w:rsidRPr="003249D9">
        <w:rPr>
          <w:rFonts w:asciiTheme="minorHAnsi" w:hAnsiTheme="minorHAnsi"/>
        </w:rPr>
        <w:t xml:space="preserve"> </w:t>
      </w:r>
      <w:r w:rsidRPr="003249D9">
        <w:rPr>
          <w:rFonts w:asciiTheme="minorHAnsi" w:hAnsiTheme="minorHAnsi"/>
        </w:rPr>
        <w:t xml:space="preserve"> intézkedésekre</w:t>
      </w:r>
      <w:proofErr w:type="gramEnd"/>
      <w:r w:rsidRPr="003249D9">
        <w:rPr>
          <w:rFonts w:asciiTheme="minorHAnsi" w:hAnsiTheme="minorHAnsi"/>
        </w:rPr>
        <w:t xml:space="preserve"> kerül</w:t>
      </w:r>
      <w:r w:rsidR="00B40102">
        <w:rPr>
          <w:rFonts w:asciiTheme="minorHAnsi" w:hAnsiTheme="minorHAnsi"/>
        </w:rPr>
        <w:t>het</w:t>
      </w:r>
      <w:r w:rsidRPr="003249D9">
        <w:rPr>
          <w:rFonts w:asciiTheme="minorHAnsi" w:hAnsiTheme="minorHAnsi"/>
        </w:rPr>
        <w:t xml:space="preserve"> sor:</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türelmi idő és fizetési </w:t>
      </w:r>
      <w:proofErr w:type="spellStart"/>
      <w:r w:rsidRPr="003249D9">
        <w:rPr>
          <w:rFonts w:asciiTheme="minorHAnsi" w:hAnsiTheme="minorHAnsi"/>
        </w:rPr>
        <w:t>moratórum</w:t>
      </w:r>
      <w:proofErr w:type="spellEnd"/>
      <w:r w:rsidRPr="003249D9">
        <w:rPr>
          <w:rFonts w:asciiTheme="minorHAnsi" w:hAnsiTheme="minorHAnsi"/>
        </w:rPr>
        <w:t xml:space="preserve"> nyújtása az adósnak a hitel tőkeösszegére;</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pénzügyi </w:t>
      </w:r>
      <w:proofErr w:type="spellStart"/>
      <w:r w:rsidR="00EF4E56">
        <w:rPr>
          <w:rFonts w:asciiTheme="minorHAnsi" w:hAnsiTheme="minorHAnsi"/>
        </w:rPr>
        <w:t>restrukturálás</w:t>
      </w:r>
      <w:proofErr w:type="spellEnd"/>
      <w:r w:rsidR="00EF4E56" w:rsidRPr="003249D9">
        <w:rPr>
          <w:rFonts w:asciiTheme="minorHAnsi" w:hAnsiTheme="minorHAnsi"/>
        </w:rPr>
        <w:t xml:space="preserve"> </w:t>
      </w:r>
      <w:r w:rsidRPr="003249D9">
        <w:rPr>
          <w:rFonts w:asciiTheme="minorHAnsi" w:hAnsiTheme="minorHAnsi"/>
        </w:rPr>
        <w:t xml:space="preserve">(futamidő meghosszabbítása/átütemezése, ideiglenes moratórium, </w:t>
      </w:r>
      <w:proofErr w:type="spellStart"/>
      <w:r w:rsidR="00870F73">
        <w:rPr>
          <w:rFonts w:asciiTheme="minorHAnsi" w:hAnsiTheme="minorHAnsi"/>
        </w:rPr>
        <w:t>kamatmarzs</w:t>
      </w:r>
      <w:proofErr w:type="spellEnd"/>
      <w:r w:rsidRPr="003249D9">
        <w:rPr>
          <w:rFonts w:asciiTheme="minorHAnsi" w:hAnsiTheme="minorHAnsi"/>
        </w:rPr>
        <w:t xml:space="preserve"> kiigazítása);</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kötelezettségvállalások megszegésének orvoslása (</w:t>
      </w:r>
      <w:proofErr w:type="spellStart"/>
      <w:r w:rsidRPr="003249D9">
        <w:rPr>
          <w:rFonts w:asciiTheme="minorHAnsi" w:hAnsiTheme="minorHAnsi"/>
        </w:rPr>
        <w:t>covenant</w:t>
      </w:r>
      <w:proofErr w:type="spellEnd"/>
      <w:r w:rsidRPr="003249D9">
        <w:rPr>
          <w:rFonts w:asciiTheme="minorHAnsi" w:hAnsiTheme="minorHAnsi"/>
        </w:rPr>
        <w:t xml:space="preserve"> </w:t>
      </w:r>
      <w:proofErr w:type="spellStart"/>
      <w:r w:rsidRPr="003249D9">
        <w:rPr>
          <w:rFonts w:asciiTheme="minorHAnsi" w:hAnsiTheme="minorHAnsi"/>
        </w:rPr>
        <w:t>cure</w:t>
      </w:r>
      <w:proofErr w:type="spellEnd"/>
      <w:r w:rsidRPr="003249D9">
        <w:rPr>
          <w:rFonts w:asciiTheme="minorHAnsi" w:hAnsiTheme="minorHAnsi"/>
        </w:rPr>
        <w:t>);</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önkéntes eszközeladások;</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az adóst felkérik üzleti/</w:t>
      </w:r>
      <w:r w:rsidR="002F194A" w:rsidRPr="002F194A">
        <w:rPr>
          <w:rFonts w:asciiTheme="minorHAnsi" w:hAnsiTheme="minorHAnsi"/>
        </w:rPr>
        <w:t xml:space="preserve"> </w:t>
      </w:r>
      <w:proofErr w:type="spellStart"/>
      <w:r w:rsidR="002F194A">
        <w:rPr>
          <w:rFonts w:asciiTheme="minorHAnsi" w:hAnsiTheme="minorHAnsi"/>
        </w:rPr>
        <w:t>restrukturálási</w:t>
      </w:r>
      <w:proofErr w:type="spellEnd"/>
      <w:r w:rsidR="002F194A" w:rsidRPr="003249D9">
        <w:rPr>
          <w:rFonts w:asciiTheme="minorHAnsi" w:hAnsiTheme="minorHAnsi"/>
        </w:rPr>
        <w:t xml:space="preserve"> </w:t>
      </w:r>
      <w:r w:rsidRPr="003249D9">
        <w:rPr>
          <w:rFonts w:asciiTheme="minorHAnsi" w:hAnsiTheme="minorHAnsi"/>
        </w:rPr>
        <w:t>terv készítésére, melynek a végrehajtását a bank felügyelheti;</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az adóst kiegészítő fedezet bevonására kérik fel;</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összetettebb, több bankot érintő ügyekben fizetési haladékot nyújtó megállapodásokat kötnek</w:t>
      </w:r>
      <w:r w:rsidR="002F194A">
        <w:rPr>
          <w:rFonts w:asciiTheme="minorHAnsi" w:hAnsiTheme="minorHAnsi"/>
        </w:rPr>
        <w:t>;</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adósság-eszköz </w:t>
      </w:r>
      <w:proofErr w:type="spellStart"/>
      <w:r w:rsidRPr="003249D9">
        <w:rPr>
          <w:rFonts w:asciiTheme="minorHAnsi" w:hAnsiTheme="minorHAnsi"/>
        </w:rPr>
        <w:t>swap</w:t>
      </w:r>
      <w:proofErr w:type="spellEnd"/>
      <w:r w:rsidRPr="003249D9">
        <w:rPr>
          <w:rFonts w:asciiTheme="minorHAnsi" w:hAnsiTheme="minorHAnsi"/>
        </w:rPr>
        <w:t xml:space="preserve"> ügyletek (főleg ingatlanok esetében);</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az adósság-tőke </w:t>
      </w:r>
      <w:proofErr w:type="spellStart"/>
      <w:r w:rsidRPr="003249D9">
        <w:rPr>
          <w:rFonts w:asciiTheme="minorHAnsi" w:hAnsiTheme="minorHAnsi"/>
        </w:rPr>
        <w:t>swap</w:t>
      </w:r>
      <w:proofErr w:type="spellEnd"/>
      <w:r w:rsidRPr="003249D9">
        <w:rPr>
          <w:rFonts w:asciiTheme="minorHAnsi" w:hAnsiTheme="minorHAnsi"/>
        </w:rPr>
        <w:t xml:space="preserve"> ügyletek meglehetősen ritkák</w:t>
      </w:r>
      <w:r w:rsidR="002F194A">
        <w:rPr>
          <w:rFonts w:asciiTheme="minorHAnsi" w:hAnsiTheme="minorHAnsi"/>
        </w:rPr>
        <w:t>;</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feltételes adósságleírás (</w:t>
      </w:r>
      <w:proofErr w:type="spellStart"/>
      <w:r w:rsidRPr="003249D9">
        <w:rPr>
          <w:rFonts w:asciiTheme="minorHAnsi" w:hAnsiTheme="minorHAnsi"/>
        </w:rPr>
        <w:t>haircut</w:t>
      </w:r>
      <w:proofErr w:type="spellEnd"/>
      <w:r w:rsidRPr="003249D9">
        <w:rPr>
          <w:rFonts w:asciiTheme="minorHAnsi" w:hAnsiTheme="minorHAnsi"/>
        </w:rPr>
        <w:t>) szerkezetátalakítással;</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refinanszírozás adósságleírással; és</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néhány esetben az adós menedzsmentjét le lehet cserélni, de ez meglehetősen ritka. Előfordulhat, hogy a részvényesek vagy a menedzsment érzelmi okokból ragaszkodnak a korábbi intézkedésekhez, és ez gátolhatja a sikeres szerkezetátalakítást.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bankok megállapították, hogy bizonyos intézkedések, például a feltételes adósságleírás szerkezetátalakítással vagy az adósság-tőke </w:t>
      </w:r>
      <w:proofErr w:type="spellStart"/>
      <w:r w:rsidRPr="003249D9">
        <w:rPr>
          <w:rFonts w:asciiTheme="minorHAnsi" w:hAnsiTheme="minorHAnsi"/>
        </w:rPr>
        <w:t>swap</w:t>
      </w:r>
      <w:proofErr w:type="spellEnd"/>
      <w:r w:rsidRPr="003249D9">
        <w:rPr>
          <w:rFonts w:asciiTheme="minorHAnsi" w:hAnsiTheme="minorHAnsi"/>
        </w:rPr>
        <w:t xml:space="preserve"> ügyletek nem akadályozzák meg a nem teljesítést és a NPL státuszt, de eredményezhetnek elfogadható hitelképességi minősítést.</w:t>
      </w:r>
    </w:p>
    <w:p w:rsidR="00BF6ACB" w:rsidRPr="003249D9" w:rsidRDefault="00BF6ACB" w:rsidP="00BF6ACB">
      <w:pPr>
        <w:pStyle w:val="TASBullet1"/>
        <w:numPr>
          <w:ilvl w:val="0"/>
          <w:numId w:val="0"/>
        </w:numPr>
        <w:ind w:left="288"/>
        <w:rPr>
          <w:rFonts w:asciiTheme="minorHAnsi" w:hAnsiTheme="minorHAnsi"/>
        </w:rPr>
      </w:pPr>
    </w:p>
    <w:p w:rsidR="00BF6ACB" w:rsidRPr="003249D9" w:rsidRDefault="00AB7CFF" w:rsidP="009A73FD">
      <w:pPr>
        <w:pStyle w:val="TASTextheading1"/>
        <w:numPr>
          <w:ilvl w:val="0"/>
          <w:numId w:val="34"/>
        </w:numPr>
        <w:rPr>
          <w:rFonts w:asciiTheme="minorHAnsi" w:hAnsiTheme="minorHAnsi"/>
        </w:rPr>
      </w:pPr>
      <w:r w:rsidRPr="003249D9">
        <w:rPr>
          <w:rFonts w:asciiTheme="minorHAnsi" w:hAnsiTheme="minorHAnsi"/>
        </w:rPr>
        <w:t>BÍRÓSÁGI VÉGREHAJTÁSI ELJÁRÁS</w:t>
      </w:r>
    </w:p>
    <w:p w:rsidR="00BF6ACB" w:rsidRPr="003249D9" w:rsidRDefault="00AB7CFF" w:rsidP="009A73FD">
      <w:pPr>
        <w:pStyle w:val="TASTextheading2"/>
        <w:numPr>
          <w:ilvl w:val="1"/>
          <w:numId w:val="34"/>
        </w:numPr>
        <w:rPr>
          <w:rFonts w:asciiTheme="minorHAnsi" w:hAnsiTheme="minorHAnsi"/>
        </w:rPr>
      </w:pPr>
      <w:r w:rsidRPr="003249D9">
        <w:rPr>
          <w:rFonts w:asciiTheme="minorHAnsi" w:hAnsiTheme="minorHAnsi"/>
        </w:rPr>
        <w:t>A bírósági végrehajtási eljárás alapvető lépései</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 bírósági végrehajtási eljárás előfeltétele, hogy a hitelező jogerős, kötelező erejű és végrehajtható okiratot szerezzen be az alábbiak eredményeképpen:</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nem vitatott fizetési meghagyásos eljárás az adós ellen a fenti 1.1 szakasz szerint (</w:t>
      </w:r>
      <w:r w:rsidRPr="003249D9">
        <w:rPr>
          <w:rFonts w:asciiTheme="minorHAnsi" w:hAnsiTheme="minorHAnsi"/>
          <w:i/>
        </w:rPr>
        <w:t>A hitelezők számára a követeléseik behajtására rendelkezésre álló lehetőségek</w:t>
      </w:r>
      <w:r w:rsidRPr="003249D9">
        <w:rPr>
          <w:rFonts w:asciiTheme="minorHAnsi" w:hAnsiTheme="minorHAnsi"/>
        </w:rPr>
        <w:t>);</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sikeres per az adós ellen, melyben felszólítják</w:t>
      </w:r>
      <w:r w:rsidR="00597860">
        <w:rPr>
          <w:rFonts w:asciiTheme="minorHAnsi" w:hAnsiTheme="minorHAnsi"/>
        </w:rPr>
        <w:t>,</w:t>
      </w:r>
      <w:r w:rsidRPr="003249D9">
        <w:rPr>
          <w:rFonts w:asciiTheme="minorHAnsi" w:hAnsiTheme="minorHAnsi"/>
        </w:rPr>
        <w:t xml:space="preserve"> hogy fizesse meg az adósságát, biztosított adósság esetén pedig tűrje el a biztosíték érvényesítését az eszközeivel szemben, a fenti 1.1 szakasz szerint (</w:t>
      </w:r>
      <w:r w:rsidRPr="003249D9">
        <w:rPr>
          <w:rFonts w:asciiTheme="minorHAnsi" w:hAnsiTheme="minorHAnsi"/>
          <w:i/>
        </w:rPr>
        <w:t>A hitelezők számára a követeléseik behajtására rendelkezésre álló lehetőségek</w:t>
      </w:r>
      <w:r w:rsidRPr="003249D9">
        <w:rPr>
          <w:rFonts w:asciiTheme="minorHAnsi" w:hAnsiTheme="minorHAnsi"/>
        </w:rPr>
        <w:t>); vagy</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a közjegyző által készített köz</w:t>
      </w:r>
      <w:r w:rsidR="00FF75B6">
        <w:rPr>
          <w:rFonts w:asciiTheme="minorHAnsi" w:hAnsiTheme="minorHAnsi"/>
        </w:rPr>
        <w:t xml:space="preserve">jegyzői </w:t>
      </w:r>
      <w:r w:rsidRPr="003249D9">
        <w:rPr>
          <w:rFonts w:asciiTheme="minorHAnsi" w:hAnsiTheme="minorHAnsi"/>
        </w:rPr>
        <w:t xml:space="preserve">okirat </w:t>
      </w:r>
      <w:r w:rsidR="00597860" w:rsidRPr="003249D9">
        <w:rPr>
          <w:rFonts w:asciiTheme="minorHAnsi" w:hAnsiTheme="minorHAnsi"/>
        </w:rPr>
        <w:t>végrehajtási záradék</w:t>
      </w:r>
      <w:r w:rsidR="00597860">
        <w:rPr>
          <w:rFonts w:asciiTheme="minorHAnsi" w:hAnsiTheme="minorHAnsi"/>
        </w:rPr>
        <w:t>kal történő ellátása</w:t>
      </w:r>
      <w:r w:rsidR="00597860" w:rsidRPr="003249D9">
        <w:rPr>
          <w:rFonts w:asciiTheme="minorHAnsi" w:hAnsiTheme="minorHAnsi"/>
        </w:rPr>
        <w:t xml:space="preserve"> </w:t>
      </w:r>
      <w:r w:rsidRPr="003249D9">
        <w:rPr>
          <w:rFonts w:asciiTheme="minorHAnsi" w:hAnsiTheme="minorHAnsi"/>
        </w:rPr>
        <w:t>a fenti 1.1 szakasz szerint (</w:t>
      </w:r>
      <w:r w:rsidRPr="003249D9">
        <w:rPr>
          <w:rFonts w:asciiTheme="minorHAnsi" w:hAnsiTheme="minorHAnsi"/>
          <w:i/>
        </w:rPr>
        <w:t>A hitelezők számára a követeléseik behajtására rendelkezésre álló lehetőségek</w:t>
      </w:r>
      <w:r w:rsidRPr="003249D9">
        <w:rPr>
          <w:rFonts w:asciiTheme="minorHAnsi" w:hAnsiTheme="minorHAnsi"/>
        </w:rPr>
        <w: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bírósági végrehajtási eljárás lefolytatása az adós bejegyzett székhelyén működő bírósági végrehajtó hatáskörébe tartozik, vagy ha a végrehajtást </w:t>
      </w:r>
      <w:r w:rsidR="00FC7B22">
        <w:rPr>
          <w:rFonts w:asciiTheme="minorHAnsi" w:hAnsiTheme="minorHAnsi"/>
        </w:rPr>
        <w:t>kérő</w:t>
      </w:r>
      <w:r w:rsidRPr="003249D9">
        <w:rPr>
          <w:rFonts w:asciiTheme="minorHAnsi" w:hAnsiTheme="minorHAnsi"/>
        </w:rPr>
        <w:t xml:space="preserve"> úgy kéri, az adós </w:t>
      </w:r>
      <w:r w:rsidR="005D0BBD">
        <w:rPr>
          <w:rFonts w:asciiTheme="minorHAnsi" w:hAnsiTheme="minorHAnsi"/>
        </w:rPr>
        <w:t>végrehajtás alá vonható vagyontárgyának</w:t>
      </w:r>
      <w:r w:rsidRPr="003249D9">
        <w:rPr>
          <w:rFonts w:asciiTheme="minorHAnsi" w:hAnsiTheme="minorHAnsi"/>
        </w:rPr>
        <w:t xml:space="preserve"> hely</w:t>
      </w:r>
      <w:r w:rsidR="005D0BBD">
        <w:rPr>
          <w:rFonts w:asciiTheme="minorHAnsi" w:hAnsiTheme="minorHAnsi"/>
        </w:rPr>
        <w:t>e szerinti</w:t>
      </w:r>
      <w:r w:rsidRPr="003249D9">
        <w:rPr>
          <w:rFonts w:asciiTheme="minorHAnsi" w:hAnsiTheme="minorHAnsi"/>
        </w:rPr>
        <w:t xml:space="preserve"> bírósági végrehajtó hatáskörébe. Máskülönben a hitelezőknek nem áll módjukban befolyásolni a végrehajtó személyét.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lastRenderedPageBreak/>
        <w:t xml:space="preserve">A végrehajtó átadja a végrehajtható okiratot az adósnak, és felszólítja, hogy 15 napon belül elégítse ki a </w:t>
      </w:r>
      <w:r w:rsidR="00617053">
        <w:rPr>
          <w:rFonts w:asciiTheme="minorHAnsi" w:hAnsiTheme="minorHAnsi"/>
        </w:rPr>
        <w:t>végrehajtást kérő</w:t>
      </w:r>
      <w:r w:rsidR="00617053" w:rsidRPr="003249D9">
        <w:rPr>
          <w:rFonts w:asciiTheme="minorHAnsi" w:hAnsiTheme="minorHAnsi"/>
        </w:rPr>
        <w:t xml:space="preserve"> </w:t>
      </w:r>
      <w:r w:rsidRPr="003249D9">
        <w:rPr>
          <w:rFonts w:asciiTheme="minorHAnsi" w:hAnsiTheme="minorHAnsi"/>
        </w:rPr>
        <w:t xml:space="preserve">követeléseit. Nem teljesítés esetén a végrehajtó megkezdi a végrehajtást az adós vagyonának lefoglalásával és adott esetben a lefoglalásnak a közhiteles nyilvántartásokban történő rögzítésével. A lefoglalt eszközök általában az adós birtokában maradnak, és nem feltétlenül adják el őket, mivel a végrehajtónak először az adós bankszámláin rendelkezésre álló összegekből kell megkísérelnie a </w:t>
      </w:r>
      <w:r w:rsidR="00612986">
        <w:rPr>
          <w:rFonts w:asciiTheme="minorHAnsi" w:hAnsiTheme="minorHAnsi"/>
        </w:rPr>
        <w:t>végrehajtást kérő</w:t>
      </w:r>
      <w:r w:rsidR="00612986" w:rsidRPr="003249D9">
        <w:rPr>
          <w:rFonts w:asciiTheme="minorHAnsi" w:hAnsiTheme="minorHAnsi"/>
        </w:rPr>
        <w:t xml:space="preserve"> </w:t>
      </w:r>
      <w:r w:rsidRPr="003249D9">
        <w:rPr>
          <w:rFonts w:asciiTheme="minorHAnsi" w:hAnsiTheme="minorHAnsi"/>
        </w:rPr>
        <w:t>követeléseinek a kielégítését.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Eközben a végrehajtónak információkat kell szereznie az adóstól és a közhiteles nyilvántartásokból az adós vagyonára bejegyzett jelzálogokat, terheket és zálogjogokat illetően. A végrehajtótól kapott értesítés alapján a </w:t>
      </w:r>
      <w:r w:rsidR="00B32BE1">
        <w:rPr>
          <w:rFonts w:asciiTheme="minorHAnsi" w:hAnsiTheme="minorHAnsi"/>
        </w:rPr>
        <w:t>zálogjogosult</w:t>
      </w:r>
      <w:r w:rsidRPr="003249D9">
        <w:rPr>
          <w:rFonts w:asciiTheme="minorHAnsi" w:hAnsiTheme="minorHAnsi"/>
        </w:rPr>
        <w:t xml:space="preserve"> kérheti, hogy az illetékes bíróság hagyja jóvá a végrehajtás</w:t>
      </w:r>
      <w:r w:rsidR="00B03F34">
        <w:rPr>
          <w:rFonts w:asciiTheme="minorHAnsi" w:hAnsiTheme="minorHAnsi"/>
        </w:rPr>
        <w:t>ba</w:t>
      </w:r>
      <w:r w:rsidRPr="003249D9">
        <w:rPr>
          <w:rFonts w:asciiTheme="minorHAnsi" w:hAnsiTheme="minorHAnsi"/>
        </w:rPr>
        <w:t xml:space="preserve"> történő </w:t>
      </w:r>
      <w:r w:rsidR="00B03F34">
        <w:rPr>
          <w:rFonts w:asciiTheme="minorHAnsi" w:hAnsiTheme="minorHAnsi"/>
        </w:rPr>
        <w:t>bekapcsolódását</w:t>
      </w:r>
      <w:r w:rsidRPr="003249D9">
        <w:rPr>
          <w:rFonts w:asciiTheme="minorHAnsi" w:hAnsiTheme="minorHAnsi"/>
        </w:rPr>
        <w:t>. A bíróság a</w:t>
      </w:r>
      <w:r w:rsidR="00AF20CD">
        <w:rPr>
          <w:rFonts w:asciiTheme="minorHAnsi" w:hAnsiTheme="minorHAnsi"/>
        </w:rPr>
        <w:t>k</w:t>
      </w:r>
      <w:r w:rsidRPr="003249D9">
        <w:rPr>
          <w:rFonts w:asciiTheme="minorHAnsi" w:hAnsiTheme="minorHAnsi"/>
        </w:rPr>
        <w:t xml:space="preserve">kor hagyja jóvá a kérelmet, ha a biztosított követelést sem az adós, sem a végrehajtást </w:t>
      </w:r>
      <w:r w:rsidR="00B64AE3">
        <w:rPr>
          <w:rFonts w:asciiTheme="minorHAnsi" w:hAnsiTheme="minorHAnsi"/>
        </w:rPr>
        <w:t>kérő</w:t>
      </w:r>
      <w:r w:rsidRPr="003249D9">
        <w:rPr>
          <w:rFonts w:asciiTheme="minorHAnsi" w:hAnsiTheme="minorHAnsi"/>
        </w:rPr>
        <w:t xml:space="preserve"> nem vitatja. Ha nem ez a helyzet, a </w:t>
      </w:r>
      <w:r w:rsidR="00F87573">
        <w:rPr>
          <w:rFonts w:asciiTheme="minorHAnsi" w:hAnsiTheme="minorHAnsi"/>
        </w:rPr>
        <w:t>zálogjogosultnak</w:t>
      </w:r>
      <w:r w:rsidR="00F87573" w:rsidRPr="003249D9">
        <w:rPr>
          <w:rFonts w:asciiTheme="minorHAnsi" w:hAnsiTheme="minorHAnsi"/>
        </w:rPr>
        <w:t xml:space="preserve"> </w:t>
      </w:r>
      <w:r w:rsidRPr="003249D9">
        <w:rPr>
          <w:rFonts w:asciiTheme="minorHAnsi" w:hAnsiTheme="minorHAnsi"/>
        </w:rPr>
        <w:t>külön pert kell indítania az adós ellen a biztosíték érvényesítése érdekében.</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 bírósági végrehajtási eljárás időtartama számos tényezőtől függ, de gyakran több mint egy évig is elhúzódik.</w:t>
      </w:r>
    </w:p>
    <w:p w:rsidR="00BF6ACB" w:rsidRPr="003249D9" w:rsidRDefault="00AB7CFF" w:rsidP="009A73FD">
      <w:pPr>
        <w:pStyle w:val="TASTextheading2"/>
        <w:numPr>
          <w:ilvl w:val="1"/>
          <w:numId w:val="34"/>
        </w:numPr>
        <w:rPr>
          <w:rFonts w:asciiTheme="minorHAnsi" w:hAnsiTheme="minorHAnsi"/>
        </w:rPr>
      </w:pPr>
      <w:r w:rsidRPr="003249D9">
        <w:rPr>
          <w:rFonts w:asciiTheme="minorHAnsi" w:hAnsiTheme="minorHAnsi"/>
        </w:rPr>
        <w:t>Az eszközök eladása</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Az értékesítendő eszközök becsértékét az alábbi módon állapítják meg:</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ingóságok esetében: a végrehajtó állapítja meg az eszközök lefoglalásakor a becsült </w:t>
      </w:r>
      <w:r w:rsidR="001D17B9">
        <w:rPr>
          <w:rFonts w:asciiTheme="minorHAnsi" w:hAnsiTheme="minorHAnsi"/>
        </w:rPr>
        <w:t>forgalmi</w:t>
      </w:r>
      <w:r w:rsidR="001D17B9" w:rsidRPr="003249D9">
        <w:rPr>
          <w:rFonts w:asciiTheme="minorHAnsi" w:hAnsiTheme="minorHAnsi"/>
        </w:rPr>
        <w:t xml:space="preserve"> </w:t>
      </w:r>
      <w:r w:rsidRPr="003249D9">
        <w:rPr>
          <w:rFonts w:asciiTheme="minorHAnsi" w:hAnsiTheme="minorHAnsi"/>
        </w:rPr>
        <w:t xml:space="preserve">érték alapján, a felek </w:t>
      </w:r>
      <w:r w:rsidR="00E225E5">
        <w:rPr>
          <w:rFonts w:asciiTheme="minorHAnsi" w:hAnsiTheme="minorHAnsi"/>
        </w:rPr>
        <w:t>megállapodása alapján</w:t>
      </w:r>
      <w:r w:rsidRPr="003249D9">
        <w:rPr>
          <w:rFonts w:asciiTheme="minorHAnsi" w:hAnsiTheme="minorHAnsi"/>
        </w:rPr>
        <w:t xml:space="preserve">, vagy pedig bármely fél kérésére szakértő állapítja meg; és </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ingatlanok esetében: a végrehajtó állapítja meg egy hat hónapnál nem régebbi értékbizonyítvány alapján, vagy bármely fél kérésére szakértő állapítja meg.</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végrehajtónak árverésen kell értékesítenie az eszközöket. </w:t>
      </w:r>
      <w:r w:rsidR="00AF20CD">
        <w:rPr>
          <w:rFonts w:asciiTheme="minorHAnsi" w:hAnsiTheme="minorHAnsi"/>
        </w:rPr>
        <w:t>Árverésen kívüli, „k</w:t>
      </w:r>
      <w:r w:rsidRPr="003249D9">
        <w:rPr>
          <w:rFonts w:asciiTheme="minorHAnsi" w:hAnsiTheme="minorHAnsi"/>
        </w:rPr>
        <w:t xml:space="preserve">özvetlen </w:t>
      </w:r>
      <w:r w:rsidR="00AF20CD">
        <w:rPr>
          <w:rFonts w:asciiTheme="minorHAnsi" w:hAnsiTheme="minorHAnsi"/>
        </w:rPr>
        <w:t>értékesítés”</w:t>
      </w:r>
      <w:r w:rsidRPr="003249D9">
        <w:rPr>
          <w:rFonts w:asciiTheme="minorHAnsi" w:hAnsiTheme="minorHAnsi"/>
        </w:rPr>
        <w:t xml:space="preserve"> is engedélyezett az alábbi feltételekkel:</w:t>
      </w:r>
    </w:p>
    <w:p w:rsidR="00BF6ACB" w:rsidRPr="003249D9" w:rsidRDefault="00AB7CFF" w:rsidP="009A73FD">
      <w:pPr>
        <w:pStyle w:val="TASBullet2"/>
        <w:numPr>
          <w:ilvl w:val="1"/>
          <w:numId w:val="36"/>
        </w:numPr>
        <w:rPr>
          <w:rFonts w:asciiTheme="minorHAnsi" w:hAnsiTheme="minorHAnsi"/>
        </w:rPr>
      </w:pPr>
      <w:r w:rsidRPr="003249D9">
        <w:rPr>
          <w:rFonts w:asciiTheme="minorHAnsi" w:hAnsiTheme="minorHAnsi"/>
        </w:rPr>
        <w:t>a</w:t>
      </w:r>
      <w:r w:rsidR="00AF20CD">
        <w:rPr>
          <w:rFonts w:asciiTheme="minorHAnsi" w:hAnsiTheme="minorHAnsi"/>
        </w:rPr>
        <w:t xml:space="preserve">z árverésen kívüli értékesítést </w:t>
      </w:r>
      <w:r w:rsidRPr="003249D9">
        <w:rPr>
          <w:rFonts w:asciiTheme="minorHAnsi" w:hAnsiTheme="minorHAnsi"/>
        </w:rPr>
        <w:t>a feleknek kell kérelmezniük úgy, hogy meghatározzák azt a vásárlót, akinek az eszközöket el kívánják adni, valamint az eszközök becsértékét;</w:t>
      </w:r>
    </w:p>
    <w:p w:rsidR="00BF6ACB" w:rsidRPr="003249D9" w:rsidRDefault="00AB7CFF" w:rsidP="009A73FD">
      <w:pPr>
        <w:pStyle w:val="TASBullet2"/>
        <w:numPr>
          <w:ilvl w:val="1"/>
          <w:numId w:val="36"/>
        </w:numPr>
        <w:rPr>
          <w:rFonts w:asciiTheme="minorHAnsi" w:hAnsiTheme="minorHAnsi"/>
        </w:rPr>
      </w:pPr>
      <w:r w:rsidRPr="003249D9">
        <w:rPr>
          <w:rFonts w:asciiTheme="minorHAnsi" w:hAnsiTheme="minorHAnsi"/>
        </w:rPr>
        <w:t xml:space="preserve">az adós egyoldalúan is meghatározhatja a vásárlót és az eszköz becsértékét (tehát a végrehajtást </w:t>
      </w:r>
      <w:r w:rsidR="00AF20CD">
        <w:rPr>
          <w:rFonts w:asciiTheme="minorHAnsi" w:hAnsiTheme="minorHAnsi"/>
        </w:rPr>
        <w:t>kérő</w:t>
      </w:r>
      <w:r w:rsidRPr="003249D9">
        <w:rPr>
          <w:rFonts w:asciiTheme="minorHAnsi" w:hAnsiTheme="minorHAnsi"/>
        </w:rPr>
        <w:t xml:space="preserve"> beleegyezése nélkül) abban az esetben, ha jogosan feltételezhető, hogy az eladásból származó bevétel elegendő fedezetet nyújt majd a végrehajtás költségei</w:t>
      </w:r>
      <w:r w:rsidR="005F0E20">
        <w:rPr>
          <w:rFonts w:asciiTheme="minorHAnsi" w:hAnsiTheme="minorHAnsi"/>
        </w:rPr>
        <w:t>re</w:t>
      </w:r>
      <w:proofErr w:type="gramStart"/>
      <w:r w:rsidR="005F0E20">
        <w:rPr>
          <w:rFonts w:asciiTheme="minorHAnsi" w:hAnsiTheme="minorHAnsi"/>
        </w:rPr>
        <w:t xml:space="preserve">, </w:t>
      </w:r>
      <w:r w:rsidRPr="003249D9">
        <w:rPr>
          <w:rFonts w:asciiTheme="minorHAnsi" w:hAnsiTheme="minorHAnsi"/>
        </w:rPr>
        <w:t xml:space="preserve"> a</w:t>
      </w:r>
      <w:proofErr w:type="gramEnd"/>
      <w:r w:rsidRPr="003249D9">
        <w:rPr>
          <w:rFonts w:asciiTheme="minorHAnsi" w:hAnsiTheme="minorHAnsi"/>
        </w:rPr>
        <w:t xml:space="preserve"> végrehajtást </w:t>
      </w:r>
      <w:r w:rsidR="00AF20CD">
        <w:rPr>
          <w:rFonts w:asciiTheme="minorHAnsi" w:hAnsiTheme="minorHAnsi"/>
        </w:rPr>
        <w:t>kérő</w:t>
      </w:r>
      <w:r w:rsidRPr="003249D9">
        <w:rPr>
          <w:rFonts w:asciiTheme="minorHAnsi" w:hAnsiTheme="minorHAnsi"/>
        </w:rPr>
        <w:t>, valamint a</w:t>
      </w:r>
      <w:r w:rsidR="00AF20CD">
        <w:rPr>
          <w:rFonts w:asciiTheme="minorHAnsi" w:hAnsiTheme="minorHAnsi"/>
        </w:rPr>
        <w:t xml:space="preserve"> végrehajtási eljárásba bekapcsolódott zálogjogosult </w:t>
      </w:r>
      <w:r w:rsidRPr="003249D9">
        <w:rPr>
          <w:rFonts w:asciiTheme="minorHAnsi" w:hAnsiTheme="minorHAnsi"/>
        </w:rPr>
        <w:t xml:space="preserve"> követeléseire; és</w:t>
      </w:r>
    </w:p>
    <w:p w:rsidR="00BF6ACB" w:rsidRPr="003249D9" w:rsidRDefault="00AB7CFF" w:rsidP="009A73FD">
      <w:pPr>
        <w:pStyle w:val="TASBullet2"/>
        <w:numPr>
          <w:ilvl w:val="1"/>
          <w:numId w:val="36"/>
        </w:numPr>
        <w:rPr>
          <w:rFonts w:asciiTheme="minorHAnsi" w:hAnsiTheme="minorHAnsi"/>
        </w:rPr>
      </w:pPr>
      <w:r w:rsidRPr="003249D9">
        <w:rPr>
          <w:rFonts w:asciiTheme="minorHAnsi" w:hAnsiTheme="minorHAnsi"/>
        </w:rPr>
        <w:t>ingatlanok esetében a földhivatalnál bejegyzett bármilyen jog kedvezményezettjének is hozzá kell járulnia a</w:t>
      </w:r>
      <w:r w:rsidR="000615B7">
        <w:rPr>
          <w:rFonts w:asciiTheme="minorHAnsi" w:hAnsiTheme="minorHAnsi"/>
        </w:rPr>
        <w:t>z ingatlan árverésen kívüli</w:t>
      </w:r>
      <w:r w:rsidRPr="003249D9">
        <w:rPr>
          <w:rFonts w:asciiTheme="minorHAnsi" w:hAnsiTheme="minorHAnsi"/>
        </w:rPr>
        <w:t xml:space="preserve"> eladás</w:t>
      </w:r>
      <w:r w:rsidR="000615B7">
        <w:rPr>
          <w:rFonts w:asciiTheme="minorHAnsi" w:hAnsiTheme="minorHAnsi"/>
        </w:rPr>
        <w:t>á</w:t>
      </w:r>
      <w:r w:rsidRPr="003249D9">
        <w:rPr>
          <w:rFonts w:asciiTheme="minorHAnsi" w:hAnsiTheme="minorHAnsi"/>
        </w:rPr>
        <w:t>hoz.</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Az árverést meg lehet tartani a Magyar Bírósági Végrehajtói Kamara elektronikus rendszerén keresztül, és bizonyos típusú eszközök, például ingatlanok esetében kötelező is így tartani. Az általános szabály az, hogy ingóságok esetében a legmagasabb árat kínáló ajánlattevőnek az árverést követően azonnal készpénzben fizetnie kell. A végrehajtást </w:t>
      </w:r>
      <w:r w:rsidR="00BF4707">
        <w:rPr>
          <w:rFonts w:asciiTheme="minorHAnsi" w:hAnsiTheme="minorHAnsi"/>
        </w:rPr>
        <w:t>kérő</w:t>
      </w:r>
      <w:r w:rsidRPr="003249D9">
        <w:rPr>
          <w:rFonts w:asciiTheme="minorHAnsi" w:hAnsiTheme="minorHAnsi"/>
        </w:rPr>
        <w:t xml:space="preserve"> bizonyos körülmények között - például ha megszerzi bizonyos egyéb hitelezők beleegyezését és megfizet bizonyos költségeket - jogosult arra, hogy beszámítsa a követelését a vételárba (</w:t>
      </w:r>
      <w:proofErr w:type="spellStart"/>
      <w:r w:rsidRPr="00861369">
        <w:rPr>
          <w:rFonts w:asciiTheme="minorHAnsi" w:hAnsiTheme="minorHAnsi"/>
          <w:i/>
        </w:rPr>
        <w:t>credit-bidding</w:t>
      </w:r>
      <w:proofErr w:type="spellEnd"/>
      <w:r w:rsidRPr="003249D9">
        <w:rPr>
          <w:rFonts w:asciiTheme="minorHAnsi" w:hAnsiTheme="minorHAnsi"/>
        </w:rPr>
        <w: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Az ingatlanok vételárát az árverést követő 15 napon belül készpénzben kell megfizetni, és a követelés beszámítása (</w:t>
      </w:r>
      <w:proofErr w:type="spellStart"/>
      <w:r w:rsidRPr="00861369">
        <w:rPr>
          <w:rFonts w:asciiTheme="minorHAnsi" w:hAnsiTheme="minorHAnsi"/>
          <w:i/>
        </w:rPr>
        <w:t>credit-bidding</w:t>
      </w:r>
      <w:proofErr w:type="spellEnd"/>
      <w:r w:rsidRPr="003249D9">
        <w:rPr>
          <w:rFonts w:asciiTheme="minorHAnsi" w:hAnsiTheme="minorHAnsi"/>
        </w:rPr>
        <w:t>) nem megengedett az árverésen.</w:t>
      </w:r>
    </w:p>
    <w:p w:rsidR="00BF6ACB" w:rsidRPr="003249D9" w:rsidRDefault="00AB7CFF" w:rsidP="009A73FD">
      <w:pPr>
        <w:pStyle w:val="TASTextheading2"/>
        <w:numPr>
          <w:ilvl w:val="1"/>
          <w:numId w:val="34"/>
        </w:numPr>
        <w:rPr>
          <w:rFonts w:asciiTheme="minorHAnsi" w:hAnsiTheme="minorHAnsi"/>
        </w:rPr>
      </w:pPr>
      <w:r w:rsidRPr="003249D9">
        <w:rPr>
          <w:rFonts w:asciiTheme="minorHAnsi" w:hAnsiTheme="minorHAnsi"/>
        </w:rPr>
        <w:t>A bírósági végrehajtás költségei</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Ha a bírósági végrehajtást </w:t>
      </w:r>
      <w:r w:rsidR="0021396D">
        <w:rPr>
          <w:rFonts w:asciiTheme="minorHAnsi" w:hAnsiTheme="minorHAnsi"/>
        </w:rPr>
        <w:t>peres</w:t>
      </w:r>
      <w:r w:rsidR="0021396D" w:rsidRPr="003249D9">
        <w:rPr>
          <w:rFonts w:asciiTheme="minorHAnsi" w:hAnsiTheme="minorHAnsi"/>
        </w:rPr>
        <w:t xml:space="preserve"> </w:t>
      </w:r>
      <w:r w:rsidRPr="003249D9">
        <w:rPr>
          <w:rFonts w:asciiTheme="minorHAnsi" w:hAnsiTheme="minorHAnsi"/>
        </w:rPr>
        <w:t>eljárás előzi meg, a pert indító hitelező köteles a perrel érvényesíteni kívánt követelés 6%-ának megfelelő illetéket fizetni. Az illeték összegét 1.500.000 forintban maximálták (kb. 5.000 EUR).</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bírósági végrehajtás költségei továbbá a következők: </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a végrehajtást </w:t>
      </w:r>
      <w:r w:rsidR="00DC62AF">
        <w:rPr>
          <w:rFonts w:asciiTheme="minorHAnsi" w:hAnsiTheme="minorHAnsi"/>
        </w:rPr>
        <w:t>kérő</w:t>
      </w:r>
      <w:r w:rsidRPr="003249D9">
        <w:rPr>
          <w:rFonts w:asciiTheme="minorHAnsi" w:hAnsiTheme="minorHAnsi"/>
        </w:rPr>
        <w:t xml:space="preserve"> által a bíróságnak fizetendő illeték, ami az érvényesítendő követelés 1%-</w:t>
      </w:r>
      <w:proofErr w:type="gramStart"/>
      <w:r w:rsidRPr="003249D9">
        <w:rPr>
          <w:rFonts w:asciiTheme="minorHAnsi" w:hAnsiTheme="minorHAnsi"/>
        </w:rPr>
        <w:t>a</w:t>
      </w:r>
      <w:proofErr w:type="gramEnd"/>
      <w:r w:rsidRPr="003249D9">
        <w:rPr>
          <w:rFonts w:asciiTheme="minorHAnsi" w:hAnsiTheme="minorHAnsi"/>
        </w:rPr>
        <w:t>, de legfeljebb 750.000 Ft (kb. 2.500 EUR);</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a bírósági végrehajtó munkadíja, ami vagy az ügy teljes értékéhez kötődik (a lejárt követelés összegéhez), pénzbeli követelés végrehajtása esetén, vagy pedig az elvégzett munka mennyiségéhez </w:t>
      </w:r>
      <w:r w:rsidR="00DC62AF">
        <w:rPr>
          <w:rFonts w:asciiTheme="minorHAnsi" w:hAnsiTheme="minorHAnsi"/>
        </w:rPr>
        <w:t>meghatározott cselekmények</w:t>
      </w:r>
      <w:r w:rsidRPr="003249D9">
        <w:rPr>
          <w:rFonts w:asciiTheme="minorHAnsi" w:hAnsiTheme="minorHAnsi"/>
        </w:rPr>
        <w:t xml:space="preserve"> végrehajtása esetén, mindkét esetben függetlenül a végrehajtási folyamat eredményétől;</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a bírósági végrehajtó költségei, amelyek az alábbi tételekből állnak: (i) a végrehajtó munkadíjának 50%-át kitevő átalányösszeg, és (</w:t>
      </w:r>
      <w:proofErr w:type="spellStart"/>
      <w:r w:rsidRPr="003249D9">
        <w:rPr>
          <w:rFonts w:asciiTheme="minorHAnsi" w:hAnsiTheme="minorHAnsi"/>
        </w:rPr>
        <w:t>ii</w:t>
      </w:r>
      <w:proofErr w:type="spellEnd"/>
      <w:r w:rsidRPr="003249D9">
        <w:rPr>
          <w:rFonts w:asciiTheme="minorHAnsi" w:hAnsiTheme="minorHAnsi"/>
        </w:rPr>
        <w:t xml:space="preserve">) a végrehajtó számára ténylegesen felmerült költségek; és </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a bírósági végrehajtó behajtási jutaléka, amelyet a behajtott követelés összegéhez igazodva állapítanak meg.</w:t>
      </w:r>
    </w:p>
    <w:p w:rsidR="00BF6ACB" w:rsidRPr="003249D9" w:rsidRDefault="00AB7CFF" w:rsidP="009A73FD">
      <w:pPr>
        <w:pStyle w:val="TASBullet1"/>
        <w:numPr>
          <w:ilvl w:val="0"/>
          <w:numId w:val="38"/>
        </w:numPr>
        <w:rPr>
          <w:rFonts w:asciiTheme="minorHAnsi" w:hAnsiTheme="minorHAnsi"/>
        </w:rPr>
      </w:pPr>
      <w:r w:rsidRPr="003249D9">
        <w:rPr>
          <w:rFonts w:asciiTheme="minorHAnsi" w:hAnsiTheme="minorHAnsi"/>
        </w:rPr>
        <w:lastRenderedPageBreak/>
        <w:t xml:space="preserve">A végrehajtást </w:t>
      </w:r>
      <w:r w:rsidR="001129CA">
        <w:rPr>
          <w:rFonts w:asciiTheme="minorHAnsi" w:hAnsiTheme="minorHAnsi"/>
        </w:rPr>
        <w:t>kérőnek</w:t>
      </w:r>
      <w:r w:rsidRPr="003249D9">
        <w:rPr>
          <w:rFonts w:asciiTheme="minorHAnsi" w:hAnsiTheme="minorHAnsi"/>
        </w:rPr>
        <w:t xml:space="preserve"> meg kell előlegeznie az alábbiakat:</w:t>
      </w:r>
    </w:p>
    <w:p w:rsidR="00BF6ACB" w:rsidRPr="003249D9" w:rsidRDefault="00AB7CFF" w:rsidP="009A73FD">
      <w:pPr>
        <w:pStyle w:val="TASBullet2"/>
        <w:numPr>
          <w:ilvl w:val="1"/>
          <w:numId w:val="38"/>
        </w:numPr>
        <w:rPr>
          <w:rFonts w:asciiTheme="minorHAnsi" w:hAnsiTheme="minorHAnsi"/>
        </w:rPr>
      </w:pPr>
      <w:r w:rsidRPr="003249D9">
        <w:rPr>
          <w:rFonts w:asciiTheme="minorHAnsi" w:hAnsiTheme="minorHAnsi"/>
        </w:rPr>
        <w:t>a bírósági végrehajtó munkadíja;</w:t>
      </w:r>
    </w:p>
    <w:p w:rsidR="00BF6ACB" w:rsidRPr="003249D9" w:rsidRDefault="00AB7CFF" w:rsidP="009A73FD">
      <w:pPr>
        <w:pStyle w:val="TASBullet2"/>
        <w:numPr>
          <w:ilvl w:val="1"/>
          <w:numId w:val="38"/>
        </w:numPr>
        <w:rPr>
          <w:rFonts w:asciiTheme="minorHAnsi" w:hAnsiTheme="minorHAnsi"/>
        </w:rPr>
      </w:pPr>
      <w:r w:rsidRPr="003249D9">
        <w:rPr>
          <w:rFonts w:asciiTheme="minorHAnsi" w:hAnsiTheme="minorHAnsi"/>
        </w:rPr>
        <w:t>a költségekkel kapcsolatos átalányösszeg 50%-</w:t>
      </w:r>
      <w:proofErr w:type="gramStart"/>
      <w:r w:rsidRPr="003249D9">
        <w:rPr>
          <w:rFonts w:asciiTheme="minorHAnsi" w:hAnsiTheme="minorHAnsi"/>
        </w:rPr>
        <w:t>a;</w:t>
      </w:r>
      <w:proofErr w:type="gramEnd"/>
      <w:r w:rsidRPr="003249D9">
        <w:rPr>
          <w:rFonts w:asciiTheme="minorHAnsi" w:hAnsiTheme="minorHAnsi"/>
        </w:rPr>
        <w:t xml:space="preserve"> és</w:t>
      </w:r>
    </w:p>
    <w:p w:rsidR="00BF6ACB" w:rsidRPr="003249D9" w:rsidRDefault="00AB7CFF" w:rsidP="009A73FD">
      <w:pPr>
        <w:pStyle w:val="TASBullet2"/>
        <w:numPr>
          <w:ilvl w:val="1"/>
          <w:numId w:val="38"/>
        </w:numPr>
        <w:rPr>
          <w:rFonts w:asciiTheme="minorHAnsi" w:hAnsiTheme="minorHAnsi"/>
        </w:rPr>
      </w:pPr>
      <w:r w:rsidRPr="003249D9">
        <w:rPr>
          <w:rFonts w:asciiTheme="minorHAnsi" w:hAnsiTheme="minorHAnsi"/>
        </w:rPr>
        <w:t>a bírósági végrehajtó szerint becsült jövőbeni költségek.</w:t>
      </w:r>
    </w:p>
    <w:p w:rsidR="00BF6ACB" w:rsidRPr="003249D9" w:rsidRDefault="00AB7CFF" w:rsidP="009A73FD">
      <w:pPr>
        <w:pStyle w:val="TASTextheading1"/>
        <w:numPr>
          <w:ilvl w:val="0"/>
          <w:numId w:val="34"/>
        </w:numPr>
        <w:rPr>
          <w:rFonts w:asciiTheme="minorHAnsi" w:hAnsiTheme="minorHAnsi"/>
        </w:rPr>
      </w:pPr>
      <w:r w:rsidRPr="003249D9">
        <w:rPr>
          <w:rFonts w:asciiTheme="minorHAnsi" w:hAnsiTheme="minorHAnsi"/>
        </w:rPr>
        <w:t>CSŐDELJÁRÁS</w:t>
      </w:r>
    </w:p>
    <w:p w:rsidR="00BF6ACB" w:rsidRPr="003249D9" w:rsidRDefault="00AB7CFF" w:rsidP="009A73FD">
      <w:pPr>
        <w:pStyle w:val="TASTextheading2"/>
        <w:numPr>
          <w:ilvl w:val="1"/>
          <w:numId w:val="34"/>
        </w:numPr>
        <w:rPr>
          <w:rFonts w:asciiTheme="minorHAnsi" w:hAnsiTheme="minorHAnsi"/>
        </w:rPr>
      </w:pPr>
      <w:r w:rsidRPr="003249D9">
        <w:rPr>
          <w:rFonts w:asciiTheme="minorHAnsi" w:hAnsiTheme="minorHAnsi"/>
        </w:rPr>
        <w:t>Csődeljárás indítása</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Az adós önkéntes alapon indíthat csődeljárást. Ehhez meg kell azonban szereznie és benyújtania a részvényesei előzetes írásbeli jóváhagyását. Az adós számára kötelező a jogi képviselet.</w:t>
      </w:r>
    </w:p>
    <w:p w:rsidR="00BF6ACB" w:rsidRPr="003249D9" w:rsidRDefault="002076C7" w:rsidP="009A73FD">
      <w:pPr>
        <w:pStyle w:val="TASBullet1"/>
        <w:numPr>
          <w:ilvl w:val="0"/>
          <w:numId w:val="39"/>
        </w:numPr>
        <w:rPr>
          <w:rFonts w:asciiTheme="minorHAnsi" w:hAnsiTheme="minorHAnsi"/>
        </w:rPr>
      </w:pPr>
      <w:r>
        <w:rPr>
          <w:rFonts w:asciiTheme="minorHAnsi" w:hAnsiTheme="minorHAnsi"/>
        </w:rPr>
        <w:t>A c</w:t>
      </w:r>
      <w:r w:rsidR="00AB7CFF" w:rsidRPr="003249D9">
        <w:rPr>
          <w:rFonts w:asciiTheme="minorHAnsi" w:hAnsiTheme="minorHAnsi"/>
        </w:rPr>
        <w:t>sőd</w:t>
      </w:r>
      <w:r>
        <w:rPr>
          <w:rFonts w:asciiTheme="minorHAnsi" w:hAnsiTheme="minorHAnsi"/>
        </w:rPr>
        <w:t>kérelem elbírálásánál és</w:t>
      </w:r>
      <w:r w:rsidR="00AB7CFF" w:rsidRPr="003249D9">
        <w:rPr>
          <w:rFonts w:asciiTheme="minorHAnsi" w:hAnsiTheme="minorHAnsi"/>
        </w:rPr>
        <w:t xml:space="preserve"> azt követően nem vizsgálják a fizetésképtelenséget, és az adós ebben a fázisban nem köteles üzleti vagy </w:t>
      </w:r>
      <w:r w:rsidR="006C023B">
        <w:rPr>
          <w:rFonts w:asciiTheme="minorHAnsi" w:hAnsiTheme="minorHAnsi"/>
        </w:rPr>
        <w:t>reorganizációs</w:t>
      </w:r>
      <w:r w:rsidR="006C023B" w:rsidRPr="003249D9">
        <w:rPr>
          <w:rFonts w:asciiTheme="minorHAnsi" w:hAnsiTheme="minorHAnsi"/>
        </w:rPr>
        <w:t xml:space="preserve"> </w:t>
      </w:r>
      <w:r w:rsidR="00AB7CFF" w:rsidRPr="003249D9">
        <w:rPr>
          <w:rFonts w:asciiTheme="minorHAnsi" w:hAnsiTheme="minorHAnsi"/>
        </w:rPr>
        <w:t xml:space="preserve">tervet készíteni. Az adósok számára nincs ugyan megtiltva, hogy önként benyújtsanak </w:t>
      </w:r>
      <w:r w:rsidR="009578E6">
        <w:rPr>
          <w:rFonts w:asciiTheme="minorHAnsi" w:hAnsiTheme="minorHAnsi"/>
        </w:rPr>
        <w:t>ilyen</w:t>
      </w:r>
      <w:r w:rsidR="009578E6" w:rsidRPr="003249D9">
        <w:rPr>
          <w:rFonts w:asciiTheme="minorHAnsi" w:hAnsiTheme="minorHAnsi"/>
        </w:rPr>
        <w:t xml:space="preserve"> </w:t>
      </w:r>
      <w:r w:rsidR="00AB7CFF" w:rsidRPr="003249D9">
        <w:rPr>
          <w:rFonts w:asciiTheme="minorHAnsi" w:hAnsiTheme="minorHAnsi"/>
        </w:rPr>
        <w:t>tervet a kérelmükkel együtt, de a gyakorlatban erre ritkán kerül sor.</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 csődeljárás elsőbbséget élvez a felszámolási eljárással szemben. Következésképpen az adós akkor is jelenthet csődöt, ha korábban felszámolást kezdeményeztek ellene a bíróságon, és a bíróság még nem hozott elsőfokú, nem jogerős határozatot a felszámolás megindításáról.</w:t>
      </w:r>
    </w:p>
    <w:p w:rsidR="00BF6ACB" w:rsidRPr="003249D9" w:rsidRDefault="00AB7CFF" w:rsidP="009A73FD">
      <w:pPr>
        <w:pStyle w:val="TASTextheading2"/>
        <w:numPr>
          <w:ilvl w:val="1"/>
          <w:numId w:val="34"/>
        </w:numPr>
        <w:rPr>
          <w:rFonts w:asciiTheme="minorHAnsi" w:hAnsiTheme="minorHAnsi"/>
        </w:rPr>
      </w:pPr>
      <w:r w:rsidRPr="003249D9">
        <w:rPr>
          <w:rFonts w:asciiTheme="minorHAnsi" w:hAnsiTheme="minorHAnsi"/>
        </w:rPr>
        <w:t>Moratórium</w:t>
      </w:r>
    </w:p>
    <w:p w:rsidR="00BF6ACB" w:rsidRPr="003249D9" w:rsidRDefault="000F7BD5" w:rsidP="009A73FD">
      <w:pPr>
        <w:pStyle w:val="TASBullet1"/>
        <w:numPr>
          <w:ilvl w:val="0"/>
          <w:numId w:val="39"/>
        </w:numPr>
        <w:rPr>
          <w:rFonts w:asciiTheme="minorHAnsi" w:hAnsiTheme="minorHAnsi"/>
        </w:rPr>
      </w:pPr>
      <w:r>
        <w:rPr>
          <w:rFonts w:asciiTheme="minorHAnsi" w:hAnsiTheme="minorHAnsi"/>
        </w:rPr>
        <w:t>A c</w:t>
      </w:r>
      <w:r w:rsidR="00AB7CFF" w:rsidRPr="003249D9">
        <w:rPr>
          <w:rFonts w:asciiTheme="minorHAnsi" w:hAnsiTheme="minorHAnsi"/>
        </w:rPr>
        <w:t>sőd</w:t>
      </w:r>
      <w:r>
        <w:rPr>
          <w:rFonts w:asciiTheme="minorHAnsi" w:hAnsiTheme="minorHAnsi"/>
        </w:rPr>
        <w:t>kérelem benyújtásakor</w:t>
      </w:r>
      <w:r w:rsidR="00AB7CFF" w:rsidRPr="003249D9">
        <w:rPr>
          <w:rFonts w:asciiTheme="minorHAnsi" w:hAnsiTheme="minorHAnsi"/>
        </w:rPr>
        <w:t xml:space="preserve"> az adós automatikusan ideiglenes moratóriumot kap. Amennyiben a bíróság a csődeljárás megindítása mellett dönt, az alábbi fog történni:</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a bíróság megadja a 'tényleges' moratóriumot az adósnak;</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a bíróság elektronikus, véletlenszerű kiválasztással vagyonfelügyelőt rendel ki a </w:t>
      </w:r>
      <w:r w:rsidR="00AE6817">
        <w:rPr>
          <w:rFonts w:asciiTheme="minorHAnsi" w:hAnsiTheme="minorHAnsi"/>
        </w:rPr>
        <w:t>felszámolói</w:t>
      </w:r>
      <w:r w:rsidRPr="003249D9">
        <w:rPr>
          <w:rFonts w:asciiTheme="minorHAnsi" w:hAnsiTheme="minorHAnsi"/>
        </w:rPr>
        <w:t xml:space="preserve"> névjegyzékből (a közelmúltban hatályon kívül helyezték a bíró azon törvényes felhatalmazását, hogy eltérjen a véletlenszerű </w:t>
      </w:r>
      <w:r w:rsidR="008949B0">
        <w:rPr>
          <w:rFonts w:asciiTheme="minorHAnsi" w:hAnsiTheme="minorHAnsi"/>
        </w:rPr>
        <w:t>kiválasztás</w:t>
      </w:r>
      <w:r w:rsidR="008949B0" w:rsidRPr="003249D9">
        <w:rPr>
          <w:rFonts w:asciiTheme="minorHAnsi" w:hAnsiTheme="minorHAnsi"/>
        </w:rPr>
        <w:t xml:space="preserve"> </w:t>
      </w:r>
      <w:r w:rsidRPr="003249D9">
        <w:rPr>
          <w:rFonts w:asciiTheme="minorHAnsi" w:hAnsiTheme="minorHAnsi"/>
        </w:rPr>
        <w:t xml:space="preserve">eredményétől); és </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a vállalat nevében megjelenik a “csődeljárás alatt” (</w:t>
      </w:r>
      <w:proofErr w:type="spellStart"/>
      <w:r w:rsidRPr="003249D9">
        <w:rPr>
          <w:rFonts w:asciiTheme="minorHAnsi" w:hAnsiTheme="minorHAnsi"/>
          <w:i/>
        </w:rPr>
        <w:t>cs.a</w:t>
      </w:r>
      <w:proofErr w:type="spellEnd"/>
      <w:r w:rsidRPr="003249D9">
        <w:rPr>
          <w:rFonts w:asciiTheme="minorHAnsi" w:hAnsiTheme="minorHAnsi"/>
          <w:i/>
        </w:rPr>
        <w:t>.</w:t>
      </w:r>
      <w:r w:rsidRPr="003249D9">
        <w:rPr>
          <w:rFonts w:asciiTheme="minorHAnsi" w:hAnsiTheme="minorHAnsi"/>
        </w:rPr>
        <w:t xml:space="preserve">) toldat. </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Mind az ideiglenes, mind a 'tényleges' moratórium alatt:</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az adóssal szemben beszámításnak helye nincs;</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biztosítékot nem lehet érvényesíteni az adós eszközeivel szemben, de a moratórium nem érinti az óvadék érvényesíthetőségét és a pozíciólezáró nettósítást bizonyos körülmények között;</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az adós ellen nem lehet pénzbeli követelést érvényesíteni;</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az adós csak a vagyonfelügyelő beleegyezésével vállalhat új kötelezettségeket;</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az adós által történő nem fizetés vagy a késedelmes fizetés következményei nem </w:t>
      </w:r>
      <w:r w:rsidR="008949B0">
        <w:rPr>
          <w:rFonts w:asciiTheme="minorHAnsi" w:hAnsiTheme="minorHAnsi"/>
        </w:rPr>
        <w:t>állnak be</w:t>
      </w:r>
      <w:r w:rsidRPr="003249D9">
        <w:rPr>
          <w:rFonts w:asciiTheme="minorHAnsi" w:hAnsiTheme="minorHAnsi"/>
        </w:rPr>
        <w:t>;</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a csődeljárás megindítása és az a tény, hogy az adós nem </w:t>
      </w:r>
      <w:proofErr w:type="gramStart"/>
      <w:r w:rsidRPr="003249D9">
        <w:rPr>
          <w:rFonts w:asciiTheme="minorHAnsi" w:hAnsiTheme="minorHAnsi"/>
        </w:rPr>
        <w:t>fizeti</w:t>
      </w:r>
      <w:proofErr w:type="gramEnd"/>
      <w:r w:rsidRPr="003249D9">
        <w:rPr>
          <w:rFonts w:asciiTheme="minorHAnsi" w:hAnsiTheme="minorHAnsi"/>
        </w:rPr>
        <w:t xml:space="preserve"> meg az eljárás megkezdése előtt esedékessé vált kötelezettségeit nem adhat okot arra, hogy bármely fél felbontsa az adóssal kötött megállapodását; és</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bizonyos követelések a moratórium ellenére is fizetendők maradnak, például a munkabérek és az azokhoz tartozó adók és járulékok, a közüzemi</w:t>
      </w:r>
      <w:r w:rsidR="00405471">
        <w:rPr>
          <w:rFonts w:asciiTheme="minorHAnsi" w:hAnsiTheme="minorHAnsi"/>
        </w:rPr>
        <w:t xml:space="preserve"> </w:t>
      </w:r>
      <w:r w:rsidRPr="003249D9">
        <w:rPr>
          <w:rFonts w:asciiTheme="minorHAnsi" w:hAnsiTheme="minorHAnsi"/>
        </w:rPr>
        <w:t>díjak, valamint a vagyonfelügyelő díja és költségei.</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 moratórium időtartama általában 120 nap. Meg lehet azonban hosszabbítani 240 napra, vagy akár 365 napra is, amennyiben a hitelezők bizonyos aránya ehhez hozzájárul.</w:t>
      </w:r>
    </w:p>
    <w:p w:rsidR="00BF6ACB" w:rsidRPr="003249D9" w:rsidRDefault="00AB7CFF" w:rsidP="009A73FD">
      <w:pPr>
        <w:pStyle w:val="TASTextheading2"/>
        <w:numPr>
          <w:ilvl w:val="1"/>
          <w:numId w:val="34"/>
        </w:numPr>
        <w:rPr>
          <w:rFonts w:asciiTheme="minorHAnsi" w:hAnsiTheme="minorHAnsi"/>
        </w:rPr>
      </w:pPr>
      <w:r w:rsidRPr="003249D9">
        <w:rPr>
          <w:rFonts w:asciiTheme="minorHAnsi" w:hAnsiTheme="minorHAnsi"/>
        </w:rPr>
        <w:t>A hitelezők nyilvántartásba vétele</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hitelezőknek a csődeljárást megindító bírósági végzés közzétételétől számított 30 napon belül be kell </w:t>
      </w:r>
      <w:r w:rsidR="00E36C00">
        <w:rPr>
          <w:rFonts w:asciiTheme="minorHAnsi" w:hAnsiTheme="minorHAnsi"/>
        </w:rPr>
        <w:t>jelenteniük</w:t>
      </w:r>
      <w:r w:rsidR="00E36C00" w:rsidRPr="003249D9">
        <w:rPr>
          <w:rFonts w:asciiTheme="minorHAnsi" w:hAnsiTheme="minorHAnsi"/>
        </w:rPr>
        <w:t xml:space="preserve"> </w:t>
      </w:r>
      <w:r w:rsidRPr="003249D9">
        <w:rPr>
          <w:rFonts w:asciiTheme="minorHAnsi" w:hAnsiTheme="minorHAnsi"/>
        </w:rPr>
        <w:t xml:space="preserve">a követeléseiket az adósnak és a vagyonfelügyelőnek. A nyilvántartásba vételért díjat kell fizetniük. </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Amennyiben egy hitelező nem jelenti be a követelését a csődeljárás megindításától számított 30 napon belül, elveszíti a jogát az alábbiakra:</w:t>
      </w:r>
    </w:p>
    <w:p w:rsidR="00BF6ACB" w:rsidRPr="003249D9" w:rsidRDefault="00AB7CFF" w:rsidP="009A73FD">
      <w:pPr>
        <w:pStyle w:val="TASBullet2"/>
        <w:numPr>
          <w:ilvl w:val="1"/>
          <w:numId w:val="36"/>
        </w:numPr>
        <w:rPr>
          <w:rFonts w:asciiTheme="minorHAnsi" w:hAnsiTheme="minorHAnsi"/>
        </w:rPr>
      </w:pPr>
      <w:r w:rsidRPr="003249D9">
        <w:rPr>
          <w:rFonts w:asciiTheme="minorHAnsi" w:hAnsiTheme="minorHAnsi"/>
        </w:rPr>
        <w:t>a csődeljárásban hitelezőként való részvétel joga, beleértve a szavazati jogot is; és</w:t>
      </w:r>
    </w:p>
    <w:p w:rsidR="00BF6ACB" w:rsidRPr="003249D9" w:rsidRDefault="00AB7CFF" w:rsidP="009A73FD">
      <w:pPr>
        <w:pStyle w:val="TASBullet2"/>
        <w:numPr>
          <w:ilvl w:val="1"/>
          <w:numId w:val="36"/>
        </w:numPr>
        <w:rPr>
          <w:rFonts w:asciiTheme="minorHAnsi" w:hAnsiTheme="minorHAnsi"/>
        </w:rPr>
      </w:pPr>
      <w:r w:rsidRPr="003249D9">
        <w:rPr>
          <w:rFonts w:asciiTheme="minorHAnsi" w:hAnsiTheme="minorHAnsi"/>
        </w:rPr>
        <w:lastRenderedPageBreak/>
        <w:t xml:space="preserve">a követelés adóssal szemben történő érvényesítése, beleértve az adóssal szembeni felszámolási eljárás kezdeményezését. </w:t>
      </w:r>
    </w:p>
    <w:p w:rsidR="00BF6ACB" w:rsidRPr="003249D9" w:rsidRDefault="00AB7CFF" w:rsidP="00BF6ACB">
      <w:pPr>
        <w:pStyle w:val="TASBullet2"/>
        <w:numPr>
          <w:ilvl w:val="0"/>
          <w:numId w:val="0"/>
        </w:numPr>
        <w:ind w:left="288"/>
        <w:rPr>
          <w:rFonts w:asciiTheme="minorHAnsi" w:hAnsiTheme="minorHAnsi"/>
        </w:rPr>
      </w:pPr>
      <w:r w:rsidRPr="003249D9">
        <w:rPr>
          <w:rFonts w:asciiTheme="minorHAnsi" w:hAnsiTheme="minorHAnsi"/>
        </w:rPr>
        <w:t>Az ilyen hitelező azonban jogosult marad arra, hogy benyújtsa a követelését egy másik személy által indított későbbi felszámolási eljárásban, feltéve, hogy követelés</w:t>
      </w:r>
      <w:r w:rsidR="006F35E6">
        <w:rPr>
          <w:rFonts w:asciiTheme="minorHAnsi" w:hAnsiTheme="minorHAnsi"/>
        </w:rPr>
        <w:t>e még nem évült el</w:t>
      </w:r>
      <w:r w:rsidRPr="003249D9">
        <w:rPr>
          <w:rFonts w:asciiTheme="minorHAnsi" w:hAnsiTheme="minorHAnsi"/>
        </w:rPr>
        <w: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követelések nyilvántartásba vételének és </w:t>
      </w:r>
      <w:r w:rsidR="00E514DB">
        <w:rPr>
          <w:rFonts w:asciiTheme="minorHAnsi" w:hAnsiTheme="minorHAnsi"/>
        </w:rPr>
        <w:t>besorolásának</w:t>
      </w:r>
      <w:r w:rsidR="00E514DB" w:rsidRPr="003249D9">
        <w:rPr>
          <w:rFonts w:asciiTheme="minorHAnsi" w:hAnsiTheme="minorHAnsi"/>
        </w:rPr>
        <w:t xml:space="preserve"> </w:t>
      </w:r>
      <w:r w:rsidRPr="003249D9">
        <w:rPr>
          <w:rFonts w:asciiTheme="minorHAnsi" w:hAnsiTheme="minorHAnsi"/>
        </w:rPr>
        <w:t xml:space="preserve">egyetlen célja a hitelezők szavazati jogának megállapítása. A felszámolási eljárástól eltérően az adós eszközeit a csődeljárásban nem </w:t>
      </w:r>
      <w:r w:rsidR="00E514DB">
        <w:rPr>
          <w:rFonts w:asciiTheme="minorHAnsi" w:hAnsiTheme="minorHAnsi"/>
        </w:rPr>
        <w:t>értékesítik</w:t>
      </w:r>
      <w:r w:rsidRPr="003249D9">
        <w:rPr>
          <w:rFonts w:asciiTheme="minorHAnsi" w:hAnsiTheme="minorHAnsi"/>
        </w:rPr>
        <w:t xml:space="preserve">, és </w:t>
      </w:r>
      <w:r w:rsidR="00E514DB">
        <w:rPr>
          <w:rFonts w:asciiTheme="minorHAnsi" w:hAnsiTheme="minorHAnsi"/>
        </w:rPr>
        <w:t xml:space="preserve">nincs kielégítési sorrend </w:t>
      </w:r>
      <w:r w:rsidRPr="003249D9">
        <w:rPr>
          <w:rFonts w:asciiTheme="minorHAnsi" w:hAnsiTheme="minorHAnsi"/>
        </w:rPr>
        <w:t>a hitelezők követelései</w:t>
      </w:r>
      <w:r w:rsidR="00E514DB">
        <w:rPr>
          <w:rFonts w:asciiTheme="minorHAnsi" w:hAnsiTheme="minorHAnsi"/>
        </w:rPr>
        <w:t>re vonatkozóan</w:t>
      </w:r>
      <w:r w:rsidRPr="003249D9">
        <w:rPr>
          <w:rFonts w:asciiTheme="minorHAnsi" w:hAnsiTheme="minorHAnsi"/>
        </w:rPr>
        <w:t xml:space="preserve">. Ehelyett a hitelezők követeléseinek </w:t>
      </w:r>
      <w:r w:rsidR="004C1091">
        <w:rPr>
          <w:rFonts w:asciiTheme="minorHAnsi" w:hAnsiTheme="minorHAnsi"/>
        </w:rPr>
        <w:t>kielégítését</w:t>
      </w:r>
      <w:r w:rsidR="004C1091" w:rsidRPr="003249D9">
        <w:rPr>
          <w:rFonts w:asciiTheme="minorHAnsi" w:hAnsiTheme="minorHAnsi"/>
        </w:rPr>
        <w:t xml:space="preserve"> </w:t>
      </w:r>
      <w:r w:rsidRPr="003249D9">
        <w:rPr>
          <w:rFonts w:asciiTheme="minorHAnsi" w:hAnsiTheme="minorHAnsi"/>
        </w:rPr>
        <w:t xml:space="preserve">a nyilvántartásba vett hitelezőkkel kötendő </w:t>
      </w:r>
      <w:r w:rsidR="004C1091">
        <w:rPr>
          <w:rFonts w:asciiTheme="minorHAnsi" w:hAnsiTheme="minorHAnsi"/>
        </w:rPr>
        <w:t>csődegyezség</w:t>
      </w:r>
      <w:r w:rsidRPr="003249D9">
        <w:rPr>
          <w:rFonts w:asciiTheme="minorHAnsi" w:hAnsiTheme="minorHAnsi"/>
        </w:rPr>
        <w:t xml:space="preserve"> határozza meg, mind a biztosított, mind a nem biztosított hitelezői osztályokban (lásd alább). </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 vagyonfelügyelő az alábbiak szerint veszi nyilvántartásba a hitelezők követeléseit:</w:t>
      </w:r>
    </w:p>
    <w:tbl>
      <w:tblPr>
        <w:tblStyle w:val="TableGrid"/>
        <w:tblW w:w="8647" w:type="dxa"/>
        <w:tblInd w:w="675" w:type="dxa"/>
        <w:tblLook w:val="04A0" w:firstRow="1" w:lastRow="0" w:firstColumn="1" w:lastColumn="0" w:noHBand="0" w:noVBand="1"/>
      </w:tblPr>
      <w:tblGrid>
        <w:gridCol w:w="2127"/>
        <w:gridCol w:w="3260"/>
        <w:gridCol w:w="3260"/>
      </w:tblGrid>
      <w:tr w:rsidR="00BF6ACB" w:rsidRPr="003249D9" w:rsidTr="00BF6ACB">
        <w:tc>
          <w:tcPr>
            <w:tcW w:w="2127" w:type="dxa"/>
            <w:vMerge w:val="restart"/>
          </w:tcPr>
          <w:p w:rsidR="00BF6ACB" w:rsidRPr="003249D9" w:rsidRDefault="00BF6ACB" w:rsidP="00BF6ACB">
            <w:pPr>
              <w:pStyle w:val="TASBullet1"/>
              <w:numPr>
                <w:ilvl w:val="0"/>
                <w:numId w:val="0"/>
              </w:numPr>
              <w:ind w:left="288"/>
              <w:rPr>
                <w:rFonts w:asciiTheme="minorHAnsi" w:hAnsiTheme="minorHAnsi"/>
              </w:rPr>
            </w:pPr>
          </w:p>
        </w:tc>
        <w:tc>
          <w:tcPr>
            <w:tcW w:w="6520" w:type="dxa"/>
            <w:gridSpan w:val="2"/>
          </w:tcPr>
          <w:p w:rsidR="00BF6ACB" w:rsidRPr="003249D9" w:rsidRDefault="00AB7CFF" w:rsidP="00BF6ACB">
            <w:pPr>
              <w:pStyle w:val="TASBullet1"/>
              <w:numPr>
                <w:ilvl w:val="0"/>
                <w:numId w:val="0"/>
              </w:numPr>
              <w:ind w:left="288"/>
              <w:jc w:val="center"/>
              <w:rPr>
                <w:rFonts w:asciiTheme="minorHAnsi" w:hAnsiTheme="minorHAnsi"/>
                <w:b/>
              </w:rPr>
            </w:pPr>
            <w:r w:rsidRPr="003249D9">
              <w:rPr>
                <w:rFonts w:asciiTheme="minorHAnsi" w:hAnsiTheme="minorHAnsi"/>
                <w:b/>
              </w:rPr>
              <w:t>Hitelezői osztályok</w:t>
            </w:r>
          </w:p>
        </w:tc>
      </w:tr>
      <w:tr w:rsidR="00BF6ACB" w:rsidRPr="003249D9" w:rsidTr="00BF6ACB">
        <w:tc>
          <w:tcPr>
            <w:tcW w:w="2127" w:type="dxa"/>
            <w:vMerge/>
          </w:tcPr>
          <w:p w:rsidR="00BF6ACB" w:rsidRPr="003249D9" w:rsidRDefault="00BF6ACB" w:rsidP="009A73FD">
            <w:pPr>
              <w:pStyle w:val="TASBullet1"/>
              <w:numPr>
                <w:ilvl w:val="0"/>
                <w:numId w:val="39"/>
              </w:numPr>
              <w:rPr>
                <w:rFonts w:asciiTheme="minorHAnsi" w:hAnsiTheme="minorHAnsi"/>
              </w:rPr>
            </w:pPr>
          </w:p>
        </w:tc>
        <w:tc>
          <w:tcPr>
            <w:tcW w:w="3260" w:type="dxa"/>
          </w:tcPr>
          <w:p w:rsidR="00BF6ACB" w:rsidRPr="003249D9" w:rsidRDefault="00AB7CFF" w:rsidP="00BF6ACB">
            <w:pPr>
              <w:pStyle w:val="TASBullet1"/>
              <w:numPr>
                <w:ilvl w:val="0"/>
                <w:numId w:val="0"/>
              </w:numPr>
              <w:rPr>
                <w:rFonts w:asciiTheme="minorHAnsi" w:hAnsiTheme="minorHAnsi"/>
                <w:b/>
                <w:i/>
              </w:rPr>
            </w:pPr>
            <w:r w:rsidRPr="003249D9">
              <w:rPr>
                <w:rFonts w:asciiTheme="minorHAnsi" w:hAnsiTheme="minorHAnsi"/>
                <w:i/>
              </w:rPr>
              <w:t>Biztosított hitelezők</w:t>
            </w:r>
          </w:p>
        </w:tc>
        <w:tc>
          <w:tcPr>
            <w:tcW w:w="3260" w:type="dxa"/>
          </w:tcPr>
          <w:p w:rsidR="00BF6ACB" w:rsidRPr="003249D9" w:rsidRDefault="00AB7CFF" w:rsidP="00BF6ACB">
            <w:pPr>
              <w:pStyle w:val="TASBullet1"/>
              <w:numPr>
                <w:ilvl w:val="0"/>
                <w:numId w:val="0"/>
              </w:numPr>
              <w:ind w:left="288" w:hanging="288"/>
              <w:rPr>
                <w:rFonts w:asciiTheme="minorHAnsi" w:hAnsiTheme="minorHAnsi"/>
                <w:b/>
                <w:i/>
              </w:rPr>
            </w:pPr>
            <w:r w:rsidRPr="003249D9">
              <w:rPr>
                <w:rFonts w:asciiTheme="minorHAnsi" w:hAnsiTheme="minorHAnsi"/>
                <w:i/>
              </w:rPr>
              <w:t>Nem biztosított hitelezők</w:t>
            </w:r>
          </w:p>
        </w:tc>
      </w:tr>
      <w:tr w:rsidR="00BF6ACB" w:rsidRPr="003249D9" w:rsidTr="00BF6ACB">
        <w:tc>
          <w:tcPr>
            <w:tcW w:w="2127" w:type="dxa"/>
            <w:vMerge w:val="restart"/>
          </w:tcPr>
          <w:p w:rsidR="00BF6ACB" w:rsidRPr="003249D9" w:rsidRDefault="00BF6ACB" w:rsidP="00BF6ACB">
            <w:pPr>
              <w:pStyle w:val="TASBullet1"/>
              <w:numPr>
                <w:ilvl w:val="0"/>
                <w:numId w:val="0"/>
              </w:numPr>
              <w:ind w:left="288"/>
              <w:rPr>
                <w:rFonts w:asciiTheme="minorHAnsi" w:hAnsiTheme="minorHAnsi"/>
                <w:b/>
              </w:rPr>
            </w:pPr>
          </w:p>
          <w:p w:rsidR="00BF6ACB" w:rsidRPr="003249D9" w:rsidRDefault="00BF6ACB" w:rsidP="00BF6ACB">
            <w:pPr>
              <w:pStyle w:val="TASBullet1"/>
              <w:numPr>
                <w:ilvl w:val="0"/>
                <w:numId w:val="0"/>
              </w:numPr>
              <w:ind w:left="288"/>
              <w:rPr>
                <w:rFonts w:asciiTheme="minorHAnsi" w:hAnsiTheme="minorHAnsi"/>
                <w:b/>
              </w:rPr>
            </w:pPr>
          </w:p>
          <w:p w:rsidR="00BF6ACB" w:rsidRPr="003249D9" w:rsidRDefault="00AB7CFF" w:rsidP="00BF6ACB">
            <w:pPr>
              <w:pStyle w:val="TASBullet1"/>
              <w:numPr>
                <w:ilvl w:val="0"/>
                <w:numId w:val="0"/>
              </w:numPr>
              <w:ind w:left="288"/>
              <w:rPr>
                <w:rFonts w:asciiTheme="minorHAnsi" w:hAnsiTheme="minorHAnsi"/>
                <w:b/>
              </w:rPr>
            </w:pPr>
            <w:r w:rsidRPr="003249D9">
              <w:rPr>
                <w:rFonts w:asciiTheme="minorHAnsi" w:hAnsiTheme="minorHAnsi"/>
                <w:b/>
              </w:rPr>
              <w:t>Hitelezői csoportok</w:t>
            </w:r>
          </w:p>
        </w:tc>
        <w:tc>
          <w:tcPr>
            <w:tcW w:w="3260" w:type="dxa"/>
          </w:tcPr>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elismert / nem vitatott</w:t>
            </w:r>
          </w:p>
        </w:tc>
        <w:tc>
          <w:tcPr>
            <w:tcW w:w="3260" w:type="dxa"/>
          </w:tcPr>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elismert / nem vitatott</w:t>
            </w:r>
          </w:p>
        </w:tc>
      </w:tr>
      <w:tr w:rsidR="00BF6ACB" w:rsidRPr="003249D9" w:rsidTr="00BF6ACB">
        <w:tc>
          <w:tcPr>
            <w:tcW w:w="2127" w:type="dxa"/>
            <w:vMerge/>
          </w:tcPr>
          <w:p w:rsidR="00BF6ACB" w:rsidRPr="003249D9" w:rsidRDefault="00BF6ACB" w:rsidP="009A73FD">
            <w:pPr>
              <w:pStyle w:val="TASBullet1"/>
              <w:numPr>
                <w:ilvl w:val="0"/>
                <w:numId w:val="39"/>
              </w:numPr>
              <w:rPr>
                <w:rFonts w:asciiTheme="minorHAnsi" w:hAnsiTheme="minorHAnsi"/>
              </w:rPr>
            </w:pPr>
          </w:p>
        </w:tc>
        <w:tc>
          <w:tcPr>
            <w:tcW w:w="3260" w:type="dxa"/>
          </w:tcPr>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vitatott</w:t>
            </w:r>
          </w:p>
        </w:tc>
        <w:tc>
          <w:tcPr>
            <w:tcW w:w="3260" w:type="dxa"/>
          </w:tcPr>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vitatott</w:t>
            </w:r>
          </w:p>
        </w:tc>
      </w:tr>
      <w:tr w:rsidR="00BF6ACB" w:rsidRPr="003249D9" w:rsidTr="00BF6ACB">
        <w:tc>
          <w:tcPr>
            <w:tcW w:w="2127" w:type="dxa"/>
            <w:vMerge/>
          </w:tcPr>
          <w:p w:rsidR="00BF6ACB" w:rsidRPr="003249D9" w:rsidRDefault="00BF6ACB" w:rsidP="009A73FD">
            <w:pPr>
              <w:pStyle w:val="TASBullet1"/>
              <w:numPr>
                <w:ilvl w:val="0"/>
                <w:numId w:val="39"/>
              </w:numPr>
              <w:rPr>
                <w:rFonts w:asciiTheme="minorHAnsi" w:hAnsiTheme="minorHAnsi"/>
              </w:rPr>
            </w:pPr>
          </w:p>
        </w:tc>
        <w:tc>
          <w:tcPr>
            <w:tcW w:w="3260" w:type="dxa"/>
          </w:tcPr>
          <w:p w:rsidR="00BF6ACB" w:rsidRPr="003249D9" w:rsidRDefault="004C1091" w:rsidP="009A73FD">
            <w:pPr>
              <w:pStyle w:val="TASBullet1"/>
              <w:numPr>
                <w:ilvl w:val="0"/>
                <w:numId w:val="39"/>
              </w:numPr>
              <w:rPr>
                <w:rFonts w:asciiTheme="minorHAnsi" w:hAnsiTheme="minorHAnsi"/>
              </w:rPr>
            </w:pPr>
            <w:r>
              <w:rPr>
                <w:rFonts w:asciiTheme="minorHAnsi" w:hAnsiTheme="minorHAnsi"/>
              </w:rPr>
              <w:t>kapcsolt vállalkozások</w:t>
            </w:r>
            <w:r w:rsidR="00AB7CFF" w:rsidRPr="003249D9">
              <w:rPr>
                <w:rFonts w:asciiTheme="minorHAnsi" w:hAnsiTheme="minorHAnsi"/>
              </w:rPr>
              <w:t xml:space="preserve"> követelései</w:t>
            </w:r>
          </w:p>
        </w:tc>
        <w:tc>
          <w:tcPr>
            <w:tcW w:w="3260" w:type="dxa"/>
          </w:tcPr>
          <w:p w:rsidR="00BF6ACB" w:rsidRPr="003249D9" w:rsidRDefault="004C1091" w:rsidP="009A73FD">
            <w:pPr>
              <w:pStyle w:val="TASBullet1"/>
              <w:numPr>
                <w:ilvl w:val="0"/>
                <w:numId w:val="39"/>
              </w:numPr>
              <w:rPr>
                <w:rFonts w:asciiTheme="minorHAnsi" w:hAnsiTheme="minorHAnsi"/>
              </w:rPr>
            </w:pPr>
            <w:r>
              <w:rPr>
                <w:rFonts w:asciiTheme="minorHAnsi" w:hAnsiTheme="minorHAnsi"/>
              </w:rPr>
              <w:t>kapcsolt vállalkozások</w:t>
            </w:r>
            <w:r w:rsidR="00AB7CFF" w:rsidRPr="003249D9">
              <w:rPr>
                <w:rFonts w:asciiTheme="minorHAnsi" w:hAnsiTheme="minorHAnsi"/>
              </w:rPr>
              <w:t xml:space="preserve"> követelései</w:t>
            </w:r>
          </w:p>
        </w:tc>
      </w:tr>
      <w:tr w:rsidR="00BF6ACB" w:rsidRPr="003249D9" w:rsidTr="00BF6ACB">
        <w:tc>
          <w:tcPr>
            <w:tcW w:w="2127" w:type="dxa"/>
            <w:vMerge/>
          </w:tcPr>
          <w:p w:rsidR="00BF6ACB" w:rsidRPr="003249D9" w:rsidRDefault="00BF6ACB" w:rsidP="009A73FD">
            <w:pPr>
              <w:pStyle w:val="TASBullet1"/>
              <w:numPr>
                <w:ilvl w:val="0"/>
                <w:numId w:val="39"/>
              </w:numPr>
              <w:rPr>
                <w:rFonts w:asciiTheme="minorHAnsi" w:hAnsiTheme="minorHAnsi"/>
              </w:rPr>
            </w:pPr>
          </w:p>
        </w:tc>
        <w:tc>
          <w:tcPr>
            <w:tcW w:w="3260" w:type="dxa"/>
          </w:tcPr>
          <w:p w:rsidR="00BF6ACB" w:rsidRPr="003249D9" w:rsidRDefault="004C1091" w:rsidP="004C1091">
            <w:pPr>
              <w:pStyle w:val="TASBullet1"/>
              <w:numPr>
                <w:ilvl w:val="0"/>
                <w:numId w:val="39"/>
              </w:numPr>
              <w:rPr>
                <w:rFonts w:asciiTheme="minorHAnsi" w:hAnsiTheme="minorHAnsi"/>
              </w:rPr>
            </w:pPr>
            <w:r>
              <w:rPr>
                <w:rFonts w:asciiTheme="minorHAnsi" w:hAnsiTheme="minorHAnsi"/>
              </w:rPr>
              <w:t>tartozás</w:t>
            </w:r>
            <w:r w:rsidR="00AB7CFF" w:rsidRPr="003249D9">
              <w:rPr>
                <w:rFonts w:asciiTheme="minorHAnsi" w:hAnsiTheme="minorHAnsi"/>
              </w:rPr>
              <w:t xml:space="preserve">átvállalásból vagy </w:t>
            </w:r>
            <w:r>
              <w:rPr>
                <w:rFonts w:asciiTheme="minorHAnsi" w:hAnsiTheme="minorHAnsi"/>
              </w:rPr>
              <w:t>engedményezésből</w:t>
            </w:r>
            <w:r w:rsidRPr="003249D9">
              <w:rPr>
                <w:rFonts w:asciiTheme="minorHAnsi" w:hAnsiTheme="minorHAnsi"/>
              </w:rPr>
              <w:t xml:space="preserve"> </w:t>
            </w:r>
            <w:r w:rsidR="00AB7CFF" w:rsidRPr="003249D9">
              <w:rPr>
                <w:rFonts w:asciiTheme="minorHAnsi" w:hAnsiTheme="minorHAnsi"/>
              </w:rPr>
              <w:t>eredő bizonyos követelések</w:t>
            </w:r>
          </w:p>
        </w:tc>
        <w:tc>
          <w:tcPr>
            <w:tcW w:w="3260" w:type="dxa"/>
          </w:tcPr>
          <w:p w:rsidR="00BF6ACB" w:rsidRPr="003249D9" w:rsidRDefault="004C1091" w:rsidP="004C1091">
            <w:pPr>
              <w:pStyle w:val="TASBullet1"/>
              <w:numPr>
                <w:ilvl w:val="0"/>
                <w:numId w:val="39"/>
              </w:numPr>
              <w:rPr>
                <w:rFonts w:asciiTheme="minorHAnsi" w:hAnsiTheme="minorHAnsi"/>
              </w:rPr>
            </w:pPr>
            <w:r>
              <w:rPr>
                <w:rFonts w:asciiTheme="minorHAnsi" w:hAnsiTheme="minorHAnsi"/>
              </w:rPr>
              <w:t>tartozás</w:t>
            </w:r>
            <w:r w:rsidR="00AB7CFF" w:rsidRPr="003249D9">
              <w:rPr>
                <w:rFonts w:asciiTheme="minorHAnsi" w:hAnsiTheme="minorHAnsi"/>
              </w:rPr>
              <w:t xml:space="preserve">átvállalásból vagy </w:t>
            </w:r>
            <w:r>
              <w:rPr>
                <w:rFonts w:asciiTheme="minorHAnsi" w:hAnsiTheme="minorHAnsi"/>
              </w:rPr>
              <w:t>engedményezésből</w:t>
            </w:r>
            <w:r w:rsidRPr="003249D9">
              <w:rPr>
                <w:rFonts w:asciiTheme="minorHAnsi" w:hAnsiTheme="minorHAnsi"/>
              </w:rPr>
              <w:t xml:space="preserve"> </w:t>
            </w:r>
            <w:r w:rsidR="00AB7CFF" w:rsidRPr="003249D9">
              <w:rPr>
                <w:rFonts w:asciiTheme="minorHAnsi" w:hAnsiTheme="minorHAnsi"/>
              </w:rPr>
              <w:t>eredő bizonyos követelések</w:t>
            </w:r>
          </w:p>
        </w:tc>
      </w:tr>
    </w:tbl>
    <w:p w:rsidR="00BF6ACB" w:rsidRPr="003249D9" w:rsidRDefault="00BF6ACB" w:rsidP="00BF6ACB">
      <w:pPr>
        <w:pStyle w:val="TASBullet1"/>
        <w:numPr>
          <w:ilvl w:val="0"/>
          <w:numId w:val="0"/>
        </w:numPr>
        <w:ind w:left="288"/>
        <w:rPr>
          <w:rFonts w:asciiTheme="minorHAnsi" w:hAnsiTheme="minorHAnsi"/>
        </w:rPr>
      </w:pP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Egy követelés akkor minősíthető vitatottnak, ha </w:t>
      </w:r>
      <w:r w:rsidR="00CE7F2D">
        <w:rPr>
          <w:rFonts w:asciiTheme="minorHAnsi" w:hAnsiTheme="minorHAnsi"/>
        </w:rPr>
        <w:t>peres vagy hatósági</w:t>
      </w:r>
      <w:r w:rsidR="00CE7F2D" w:rsidRPr="003249D9">
        <w:rPr>
          <w:rFonts w:asciiTheme="minorHAnsi" w:hAnsiTheme="minorHAnsi"/>
        </w:rPr>
        <w:t xml:space="preserve"> </w:t>
      </w:r>
      <w:r w:rsidRPr="003249D9">
        <w:rPr>
          <w:rFonts w:asciiTheme="minorHAnsi" w:hAnsiTheme="minorHAnsi"/>
        </w:rPr>
        <w:t xml:space="preserve">eljárás van folyamatban a követeléssel kapcsolatban, vagy pedig akkor, ha nincs ilyen eljárás, de a vagyonfelügyelő úgy dönt, hogy más okból vitatottnak nyilvánítja a követelést. A vitatott követelésekkel </w:t>
      </w:r>
      <w:r w:rsidR="00CE7F2D">
        <w:rPr>
          <w:rFonts w:asciiTheme="minorHAnsi" w:hAnsiTheme="minorHAnsi"/>
        </w:rPr>
        <w:t>rendelkező</w:t>
      </w:r>
      <w:r w:rsidR="00CE7F2D" w:rsidRPr="003249D9">
        <w:rPr>
          <w:rFonts w:asciiTheme="minorHAnsi" w:hAnsiTheme="minorHAnsi"/>
        </w:rPr>
        <w:t xml:space="preserve"> </w:t>
      </w:r>
      <w:r w:rsidRPr="003249D9">
        <w:rPr>
          <w:rFonts w:asciiTheme="minorHAnsi" w:hAnsiTheme="minorHAnsi"/>
        </w:rPr>
        <w:t>hitelezők nem jogosultak szavazni a</w:t>
      </w:r>
      <w:r w:rsidR="00CE7F2D">
        <w:rPr>
          <w:rFonts w:asciiTheme="minorHAnsi" w:hAnsiTheme="minorHAnsi"/>
        </w:rPr>
        <w:t>z egyezségi tárgyalásokon</w:t>
      </w:r>
      <w:r w:rsidRPr="003249D9">
        <w:rPr>
          <w:rFonts w:asciiTheme="minorHAnsi" w:hAnsiTheme="minorHAnsi"/>
        </w:rPr>
        <w:t>, de jogosultak tartalékra vagy fedezetre a követelésük biztosításához, amíg azt jogerős és kötelező erejű bírósági határozat meg nem erősíti.</w:t>
      </w:r>
    </w:p>
    <w:p w:rsidR="00BF6ACB" w:rsidRPr="003249D9" w:rsidRDefault="00CE7F2D" w:rsidP="009A73FD">
      <w:pPr>
        <w:pStyle w:val="TASTextheading2"/>
        <w:numPr>
          <w:ilvl w:val="1"/>
          <w:numId w:val="34"/>
        </w:numPr>
        <w:rPr>
          <w:rFonts w:asciiTheme="minorHAnsi" w:hAnsiTheme="minorHAnsi"/>
        </w:rPr>
      </w:pPr>
      <w:r>
        <w:rPr>
          <w:rFonts w:asciiTheme="minorHAnsi" w:hAnsiTheme="minorHAnsi"/>
        </w:rPr>
        <w:t>Egyezségi tárgyalások</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Annak érdekében</w:t>
      </w:r>
      <w:r w:rsidR="00CE7F2D">
        <w:rPr>
          <w:rFonts w:asciiTheme="minorHAnsi" w:hAnsiTheme="minorHAnsi"/>
        </w:rPr>
        <w:t>,</w:t>
      </w:r>
      <w:r w:rsidRPr="003249D9">
        <w:rPr>
          <w:rFonts w:asciiTheme="minorHAnsi" w:hAnsiTheme="minorHAnsi"/>
        </w:rPr>
        <w:t xml:space="preserve"> hogy megállapodásra jusson a hitelezőkkel, az adósnak a csődeljárás megindításától számított 60 napon belül </w:t>
      </w:r>
      <w:r w:rsidR="00CE7F2D">
        <w:rPr>
          <w:rFonts w:asciiTheme="minorHAnsi" w:hAnsiTheme="minorHAnsi"/>
        </w:rPr>
        <w:t>egyezségi tárgyalásra</w:t>
      </w:r>
      <w:r w:rsidRPr="003249D9">
        <w:rPr>
          <w:rFonts w:asciiTheme="minorHAnsi" w:hAnsiTheme="minorHAnsi"/>
        </w:rPr>
        <w:t xml:space="preserve"> kell összehívnia minden hitelezőjét. Az adósnak átszervezési tervet és egyezségi javaslatot kell készítenie a</w:t>
      </w:r>
      <w:r w:rsidR="00CE7F2D">
        <w:rPr>
          <w:rFonts w:asciiTheme="minorHAnsi" w:hAnsiTheme="minorHAnsi"/>
        </w:rPr>
        <w:t>z egyezségi tárgyalásra</w:t>
      </w:r>
      <w:r w:rsidRPr="003249D9">
        <w:rPr>
          <w:rFonts w:asciiTheme="minorHAnsi" w:hAnsiTheme="minorHAnsi"/>
        </w:rPr>
        <w:t xml:space="preserve">, és ezeket a dokumentumokat mellékelnie kell a vagyonfelügyelőnek és a hitelezőknek küldött meghívó mellé. Az adós részvényesei segítséget nyújthatnak </w:t>
      </w:r>
      <w:proofErr w:type="gramStart"/>
      <w:r w:rsidRPr="003249D9">
        <w:rPr>
          <w:rFonts w:asciiTheme="minorHAnsi" w:hAnsiTheme="minorHAnsi"/>
        </w:rPr>
        <w:t>ezen</w:t>
      </w:r>
      <w:proofErr w:type="gramEnd"/>
      <w:r w:rsidRPr="003249D9">
        <w:rPr>
          <w:rFonts w:asciiTheme="minorHAnsi" w:hAnsiTheme="minorHAnsi"/>
        </w:rPr>
        <w:t xml:space="preserve"> dokumentumok elkészítésében, és az adós a vagyonfelügyelővel is konzultálhat. Gyakorlatilag az adós bevonhatja a hitelezőket az egyezségi javaslat és az átszervezési terv elkészítésébe. Kerülnie kell azonban bármely hitelező jogtalan előnyben részesítését.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w:t>
      </w:r>
      <w:r w:rsidR="00CE7F2D">
        <w:rPr>
          <w:rFonts w:asciiTheme="minorHAnsi" w:hAnsiTheme="minorHAnsi"/>
        </w:rPr>
        <w:t>z egyezségi tárgyalás</w:t>
      </w:r>
      <w:r w:rsidRPr="003249D9">
        <w:rPr>
          <w:rFonts w:asciiTheme="minorHAnsi" w:hAnsiTheme="minorHAnsi"/>
        </w:rPr>
        <w:t xml:space="preserve"> az alábbi eredményekkel zárulhat:</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A hitelezők a szavazatok egyszerű többségével megszavazzák az egyezségi javaslatot és az átszervezési tervet a biztosított és nem biztosított hitelezői osztályokban. </w:t>
      </w:r>
      <w:r w:rsidR="00D80012">
        <w:rPr>
          <w:rFonts w:asciiTheme="minorHAnsi" w:hAnsiTheme="minorHAnsi"/>
        </w:rPr>
        <w:t xml:space="preserve">Nincsenek további </w:t>
      </w:r>
      <w:r w:rsidRPr="003249D9">
        <w:rPr>
          <w:rFonts w:asciiTheme="minorHAnsi" w:hAnsiTheme="minorHAnsi"/>
        </w:rPr>
        <w:t xml:space="preserve">hitelezői osztályok </w:t>
      </w:r>
      <w:r w:rsidR="00D80012">
        <w:rPr>
          <w:rFonts w:asciiTheme="minorHAnsi" w:hAnsiTheme="minorHAnsi"/>
        </w:rPr>
        <w:t>a szavazás szempontjából</w:t>
      </w:r>
      <w:r w:rsidRPr="003249D9">
        <w:rPr>
          <w:rFonts w:asciiTheme="minorHAnsi" w:hAnsiTheme="minorHAnsi"/>
        </w:rPr>
        <w:t xml:space="preserve">, és nincs kétharmados küszöb. A vagyonfelügyelő </w:t>
      </w:r>
      <w:proofErr w:type="spellStart"/>
      <w:r w:rsidRPr="003249D9">
        <w:rPr>
          <w:rFonts w:asciiTheme="minorHAnsi" w:hAnsiTheme="minorHAnsi"/>
        </w:rPr>
        <w:t>ellenjegyzi</w:t>
      </w:r>
      <w:proofErr w:type="spellEnd"/>
      <w:r w:rsidRPr="003249D9">
        <w:rPr>
          <w:rFonts w:asciiTheme="minorHAnsi" w:hAnsiTheme="minorHAnsi"/>
        </w:rPr>
        <w:t xml:space="preserve"> az egyezséget, a bíróság pedig felülvizsgálja azt. Ha a bíróság jogerős és </w:t>
      </w:r>
      <w:r w:rsidR="00D80012">
        <w:rPr>
          <w:rFonts w:asciiTheme="minorHAnsi" w:hAnsiTheme="minorHAnsi"/>
        </w:rPr>
        <w:t>végrehajtható</w:t>
      </w:r>
      <w:r w:rsidRPr="003249D9">
        <w:rPr>
          <w:rFonts w:asciiTheme="minorHAnsi" w:hAnsiTheme="minorHAnsi"/>
        </w:rPr>
        <w:t xml:space="preserve"> határozattal jóváhagyja az egyezséget, a csődeljárás sikeres lesz, és az adós folytathatja a tevékenységét.</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A hitelezők az egyezségi javaslat és az átszervezési terv ellen szavaznak, de támogatják az adóst egy módosított javaslat elkészítésében.</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Az adós kezdeményezheti a moratórium meghosszabbítását (lásd a jelen fejezet 4.2 szakaszát (</w:t>
      </w:r>
      <w:r w:rsidRPr="003249D9">
        <w:rPr>
          <w:rFonts w:asciiTheme="minorHAnsi" w:hAnsiTheme="minorHAnsi"/>
          <w:i/>
        </w:rPr>
        <w:t>Moratórium</w:t>
      </w:r>
      <w:r w:rsidRPr="003249D9">
        <w:rPr>
          <w:rFonts w:asciiTheme="minorHAnsi" w:hAnsiTheme="minorHAnsi"/>
        </w:rPr>
        <w:t xml:space="preserve">)), amit a hitelezők biztosított és nem biztosított osztályai egyszerű többséggel támogathatnak vagy elutasíthatnak. </w:t>
      </w:r>
      <w:r w:rsidR="00D80012">
        <w:rPr>
          <w:rFonts w:asciiTheme="minorHAnsi" w:hAnsiTheme="minorHAnsi"/>
        </w:rPr>
        <w:t>Nincsenek további</w:t>
      </w:r>
      <w:r w:rsidRPr="003249D9">
        <w:rPr>
          <w:rFonts w:asciiTheme="minorHAnsi" w:hAnsiTheme="minorHAnsi"/>
        </w:rPr>
        <w:t xml:space="preserve"> hitelezői osztályok </w:t>
      </w:r>
      <w:r w:rsidR="00D80012">
        <w:rPr>
          <w:rFonts w:asciiTheme="minorHAnsi" w:hAnsiTheme="minorHAnsi"/>
        </w:rPr>
        <w:t>a szavazás szempontjából</w:t>
      </w:r>
      <w:r w:rsidRPr="003249D9">
        <w:rPr>
          <w:rFonts w:asciiTheme="minorHAnsi" w:hAnsiTheme="minorHAnsi"/>
        </w:rPr>
        <w:t>, és nincs kétharmados küszöb; vagy</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A hitelezők az egyezségi javaslat és az átszervezési terv ellen szavaznak, és nem támogatják a módosított javaslat kidolgozását vagy a moratórium meghosszabbítását. Ebben az esetben az adós bejelenti a sikertelen csődeljárást a bíróságnak, a bíróság pedig lezárja az eljárást és elrendeli az adós felszámolását.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Ha </w:t>
      </w:r>
      <w:r w:rsidR="00D80012">
        <w:rPr>
          <w:rFonts w:asciiTheme="minorHAnsi" w:hAnsiTheme="minorHAnsi"/>
        </w:rPr>
        <w:t>létrejön a csőd</w:t>
      </w:r>
      <w:r w:rsidRPr="003249D9">
        <w:rPr>
          <w:rFonts w:asciiTheme="minorHAnsi" w:hAnsiTheme="minorHAnsi"/>
        </w:rPr>
        <w:t xml:space="preserve">egyezség, a bíróság megvizsgálja, hogy az teljesíti-e a jóhiszemű joggyakorlás követelményeit, és hogy tartalmaz-e olyan rendelkezéseket, amelyek egyértelműen és jelentősen méltánytalanok vagy hátrányosak minden </w:t>
      </w:r>
      <w:r w:rsidRPr="003249D9">
        <w:rPr>
          <w:rFonts w:asciiTheme="minorHAnsi" w:hAnsiTheme="minorHAnsi"/>
        </w:rPr>
        <w:lastRenderedPageBreak/>
        <w:t>hitelezőre vagy a hitelezők egy csoportjára nézve. Az egyezség nem tehet különbséget a megkötését nem jóváhagyó és jóváhagyó hitelezők között. A bíróságok általában nem vizsgálják az egyezségek gazdasági hátterét vagy pénzügyi megvalósíthatóságát.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Az egyezség azon hitelezők számára is kötelező erejű, akik nem egyeztek bele vagy nem vettek részt az egyezség megkötésében annak ellenére, hogy szabályszerűen értesítették őket (kényszeregyezség).</w:t>
      </w:r>
    </w:p>
    <w:p w:rsidR="00BF6ACB" w:rsidRPr="003249D9" w:rsidRDefault="00AB7CFF" w:rsidP="009A73FD">
      <w:pPr>
        <w:pStyle w:val="TASTextheading2"/>
        <w:numPr>
          <w:ilvl w:val="1"/>
          <w:numId w:val="34"/>
        </w:numPr>
        <w:rPr>
          <w:rFonts w:asciiTheme="minorHAnsi" w:hAnsiTheme="minorHAnsi"/>
        </w:rPr>
      </w:pPr>
      <w:r w:rsidRPr="003249D9">
        <w:rPr>
          <w:rFonts w:asciiTheme="minorHAnsi" w:hAnsiTheme="minorHAnsi"/>
        </w:rPr>
        <w:t>A vezetők feladatai és felelőssége</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 csődeljárás alatt az adós vezető tisztségviselői a moratórium rendelkezései által megengedett mértékben folytathatják a tevékenységüket. Az adós eszközei vonatkozásában azonban szorosan együtt kell működniük a vagyonfelügyelővel. Az együttműködés biztosítása érdekében a vonatkozó törvény bizonyos bírságok kiszabását is előirányozza azon vezetők számára, akik a csődeljárás alatt megsértik a szabályokat.</w:t>
      </w:r>
    </w:p>
    <w:p w:rsidR="00BF6ACB" w:rsidRPr="003249D9" w:rsidRDefault="00AB7CFF" w:rsidP="009A73FD">
      <w:pPr>
        <w:pStyle w:val="TASTextheading2"/>
        <w:numPr>
          <w:ilvl w:val="1"/>
          <w:numId w:val="34"/>
        </w:numPr>
        <w:rPr>
          <w:rFonts w:asciiTheme="minorHAnsi" w:hAnsiTheme="minorHAnsi"/>
        </w:rPr>
      </w:pPr>
      <w:r w:rsidRPr="003249D9">
        <w:rPr>
          <w:rFonts w:asciiTheme="minorHAnsi" w:hAnsiTheme="minorHAnsi"/>
        </w:rPr>
        <w:t>A vagyonfelügyelő szerepe és felelőssége</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 vagyonfelügyelő tevékenysége főleg a hitelezők követeléseinek nyilvántartását, az egyezség ellenjegyzését, a bírósággal való kapcsolattartást, a moratórium bizonyos rendelkezéseinek figyelését, és általában véve az adósnak a csődeljárás alatt végzett tevékenységének az ellenőrzését foglalja magában. Máskülönben, mivel a bíróság által kirendelt vagyonfelügyelő szervezet egy vagyonfelügyelő alkalmazottjának adja ki az ügyet, ennek a konkrét vagyonfelügyelőnek a szakmai hozzáállása határozza meg, hogy mennyire aktív szerepet fog játszani az eljárásban.</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Bármely érintett fél hitelezői kifogást nyújthatnak be a bíróságnak a vagyonfelügyelő </w:t>
      </w:r>
      <w:r w:rsidR="00BC2CD2">
        <w:rPr>
          <w:rFonts w:asciiTheme="minorHAnsi" w:hAnsiTheme="minorHAnsi"/>
        </w:rPr>
        <w:t xml:space="preserve">jogszabálysértő tevékenysége vagy </w:t>
      </w:r>
      <w:r w:rsidRPr="003249D9">
        <w:rPr>
          <w:rFonts w:asciiTheme="minorHAnsi" w:hAnsiTheme="minorHAnsi"/>
        </w:rPr>
        <w:t>mulasztása esetén, így például a vagyonfelügyelőnek a követelések nyilvántartásba vételével kapcsolatos döntése tárgyában. Ezen kívül a vagyonfelügyelő felelőssé tehető a károkért abban az esetben, ha megszegte a kötelezettségeit.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bíróság hivatalból vagy egy hitelező kérelmére is leválthatja a vagyonfelügyelőt, ha bebizonyosodik, hogy a vagyonfelügyelő ismételten vagy súlyosan megsértette a törvényes kötelezettségeit. Máskülönben a hitelezők nem jogosultak </w:t>
      </w:r>
      <w:r w:rsidR="00BC2CD2">
        <w:rPr>
          <w:rFonts w:asciiTheme="minorHAnsi" w:hAnsiTheme="minorHAnsi"/>
        </w:rPr>
        <w:t>indokolás</w:t>
      </w:r>
      <w:r w:rsidR="00BC2CD2" w:rsidRPr="003249D9">
        <w:rPr>
          <w:rFonts w:asciiTheme="minorHAnsi" w:hAnsiTheme="minorHAnsi"/>
        </w:rPr>
        <w:t xml:space="preserve"> </w:t>
      </w:r>
      <w:r w:rsidRPr="003249D9">
        <w:rPr>
          <w:rFonts w:asciiTheme="minorHAnsi" w:hAnsiTheme="minorHAnsi"/>
        </w:rPr>
        <w:t>vagy bizonyíték nélkül a vagyonfelügyelő leváltását kérni.</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vagyonfelügyelő díját az adós csődkérelmének részét képező mérlegben kimutatott eszközök összesített könyv szerinti értéke alapján számítják ki. Ez a számítás nem veszi figyelembe az adós </w:t>
      </w:r>
      <w:r w:rsidR="00BC2CD2">
        <w:rPr>
          <w:rFonts w:asciiTheme="minorHAnsi" w:hAnsiTheme="minorHAnsi"/>
        </w:rPr>
        <w:t>kötelezettségeit</w:t>
      </w:r>
      <w:r w:rsidRPr="003249D9">
        <w:rPr>
          <w:rFonts w:asciiTheme="minorHAnsi" w:hAnsiTheme="minorHAnsi"/>
        </w:rPr>
        <w:t xml:space="preserve">. Következésképpen, ha </w:t>
      </w:r>
      <w:r w:rsidR="00FA40E5">
        <w:rPr>
          <w:rFonts w:asciiTheme="minorHAnsi" w:hAnsiTheme="minorHAnsi"/>
        </w:rPr>
        <w:t xml:space="preserve">pl. </w:t>
      </w:r>
      <w:r w:rsidRPr="003249D9">
        <w:rPr>
          <w:rFonts w:asciiTheme="minorHAnsi" w:hAnsiTheme="minorHAnsi"/>
        </w:rPr>
        <w:t xml:space="preserve">az adós </w:t>
      </w:r>
      <w:r w:rsidR="00FA40E5">
        <w:rPr>
          <w:rFonts w:asciiTheme="minorHAnsi" w:hAnsiTheme="minorHAnsi"/>
        </w:rPr>
        <w:t xml:space="preserve">egyetlen </w:t>
      </w:r>
      <w:r w:rsidRPr="003249D9">
        <w:rPr>
          <w:rFonts w:asciiTheme="minorHAnsi" w:hAnsiTheme="minorHAnsi"/>
        </w:rPr>
        <w:t>jelentős értékű vagyontárggyal</w:t>
      </w:r>
      <w:r w:rsidR="00FA40E5">
        <w:rPr>
          <w:rFonts w:asciiTheme="minorHAnsi" w:hAnsiTheme="minorHAnsi"/>
        </w:rPr>
        <w:t xml:space="preserve"> rendelkezik (pl. egy</w:t>
      </w:r>
      <w:r w:rsidRPr="003249D9">
        <w:rPr>
          <w:rFonts w:asciiTheme="minorHAnsi" w:hAnsiTheme="minorHAnsi"/>
        </w:rPr>
        <w:t xml:space="preserve"> ingatlant birtokoló projektcég</w:t>
      </w:r>
      <w:r w:rsidR="00FA40E5">
        <w:rPr>
          <w:rFonts w:asciiTheme="minorHAnsi" w:hAnsiTheme="minorHAnsi"/>
        </w:rPr>
        <w:t xml:space="preserve"> esetében)</w:t>
      </w:r>
      <w:r w:rsidRPr="003249D9">
        <w:rPr>
          <w:rFonts w:asciiTheme="minorHAnsi" w:hAnsiTheme="minorHAnsi"/>
        </w:rPr>
        <w:t xml:space="preserve">, a vagyonfelügyelő díja meglehetősen magas összeget tehet ki. A bíróság által jóváhagyott </w:t>
      </w:r>
      <w:r w:rsidR="00D44C7F">
        <w:rPr>
          <w:rFonts w:asciiTheme="minorHAnsi" w:hAnsiTheme="minorHAnsi"/>
        </w:rPr>
        <w:t>csőd</w:t>
      </w:r>
      <w:r w:rsidRPr="003249D9">
        <w:rPr>
          <w:rFonts w:asciiTheme="minorHAnsi" w:hAnsiTheme="minorHAnsi"/>
        </w:rPr>
        <w:t xml:space="preserve">egyezség esetében a vagyonfelügyelő az alapdíj további 15%-ára jogosult. A vagyonfelügyelő számára felmerülő költségeket a bíróságnak jóvá kell hagynia, és az adósnak kell viselnie olyan mértékben, amennyire azokat nem fedezi a hitelezők által befizetett nyilvántartási díj. </w:t>
      </w:r>
    </w:p>
    <w:p w:rsidR="00BF6ACB" w:rsidRPr="003249D9" w:rsidRDefault="00BF6ACB" w:rsidP="00BF6ACB">
      <w:pPr>
        <w:pStyle w:val="TASBullet1"/>
        <w:numPr>
          <w:ilvl w:val="0"/>
          <w:numId w:val="0"/>
        </w:numPr>
        <w:ind w:left="288"/>
        <w:rPr>
          <w:rFonts w:asciiTheme="minorHAnsi" w:hAnsiTheme="minorHAnsi"/>
        </w:rPr>
      </w:pPr>
    </w:p>
    <w:p w:rsidR="00BF6ACB" w:rsidRPr="003249D9" w:rsidRDefault="00AB7CFF" w:rsidP="009A73FD">
      <w:pPr>
        <w:pStyle w:val="TASTextheading1"/>
        <w:numPr>
          <w:ilvl w:val="0"/>
          <w:numId w:val="34"/>
        </w:numPr>
        <w:rPr>
          <w:rFonts w:asciiTheme="minorHAnsi" w:hAnsiTheme="minorHAnsi"/>
        </w:rPr>
      </w:pPr>
      <w:r w:rsidRPr="003249D9">
        <w:rPr>
          <w:rFonts w:asciiTheme="minorHAnsi" w:hAnsiTheme="minorHAnsi"/>
        </w:rPr>
        <w:t>A FELSZÁMOLÁSI ELJÁRÁS</w:t>
      </w:r>
    </w:p>
    <w:p w:rsidR="00BF6ACB" w:rsidRPr="003249D9" w:rsidRDefault="00AB7CFF" w:rsidP="009A73FD">
      <w:pPr>
        <w:pStyle w:val="TASTextheading2"/>
        <w:numPr>
          <w:ilvl w:val="1"/>
          <w:numId w:val="34"/>
        </w:numPr>
        <w:rPr>
          <w:rFonts w:asciiTheme="minorHAnsi" w:hAnsiTheme="minorHAnsi"/>
        </w:rPr>
      </w:pPr>
      <w:r w:rsidRPr="003249D9">
        <w:rPr>
          <w:rFonts w:asciiTheme="minorHAnsi" w:hAnsiTheme="minorHAnsi"/>
        </w:rPr>
        <w:t>A felszámolási eljárás megindítása és időtartama</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 felszámolási eljárást megindíthatja:</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az adós, a hitelező vagy egy korábbi végelszámolási eljárásban kinevezett végelszámoló, mely esetben kötelező a jogi képviselet az eljárás megindításához, és a bíróság vizsgálja a fizetésképtelenséget; vagy</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a bíróság, például olyan esetben, amikor előzőleg sikertelen csődeljárásra került sor, de ebben az esetben a bíróság nem vizsgálja a fizetésképtelenséget.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bíróságnak a kérelem beérkezését követő 60 napon belül határoznia kell a felszámolási eljárás megindításáról. A bíróságnak a felszámolás megindításáról szóló jogerős és </w:t>
      </w:r>
      <w:r w:rsidR="00D44C7F">
        <w:rPr>
          <w:rFonts w:asciiTheme="minorHAnsi" w:hAnsiTheme="minorHAnsi"/>
        </w:rPr>
        <w:t>végrehajtható</w:t>
      </w:r>
      <w:r w:rsidRPr="003249D9">
        <w:rPr>
          <w:rFonts w:asciiTheme="minorHAnsi" w:hAnsiTheme="minorHAnsi"/>
        </w:rPr>
        <w:t xml:space="preserve"> végzésére sokszor meglehetősen hosszú ideig kell várni (általában 6-18 hónapig) a bíróság által elrendelt hiánypótlások, valamint az elsőfokú határozat ellen mind az adós (a felszámolás megindítása ellen), mind a hitelező (a kérelem elutasítása ellen) által benyújtott fellebbezések miatt. </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hitelezők leggyakrabban azért kérnek felszámolást, mert az adós sem nem vitatta, sem nem fizette ki az előzőleg nem vitatott és elismert adósságát az esedékesség napjától számított 20 napon belül, és ezt követően a hitelezőtől kapott írásbeli fizetési felszólítás kézhezvétele után sem fizetett. Az adós akkor kerülheti el a felszámolást, ha bebizonyítja, hogy a kellő </w:t>
      </w:r>
      <w:proofErr w:type="gramStart"/>
      <w:r w:rsidRPr="003249D9">
        <w:rPr>
          <w:rFonts w:asciiTheme="minorHAnsi" w:hAnsiTheme="minorHAnsi"/>
        </w:rPr>
        <w:t>időben érdemben</w:t>
      </w:r>
      <w:proofErr w:type="gramEnd"/>
      <w:r w:rsidRPr="003249D9">
        <w:rPr>
          <w:rFonts w:asciiTheme="minorHAnsi" w:hAnsiTheme="minorHAnsi"/>
        </w:rPr>
        <w:t xml:space="preserve"> kifogásolta a szóban forgó követelést. A felszámoló bíróságok általában nem vizsgálják, hogy a vitatás megalapozott volt-e, mert ez a rendes bíróság hatáskörébe tartozik a peres eljárás során.</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lastRenderedPageBreak/>
        <w:t xml:space="preserve">A felszámolás akkor válik nyilvánossá, amikor a felszámolást elrendelő jogerős és </w:t>
      </w:r>
      <w:r w:rsidR="00D44C7F">
        <w:rPr>
          <w:rFonts w:asciiTheme="minorHAnsi" w:hAnsiTheme="minorHAnsi"/>
        </w:rPr>
        <w:t>végrehajtható</w:t>
      </w:r>
      <w:r w:rsidRPr="003249D9">
        <w:rPr>
          <w:rFonts w:asciiTheme="minorHAnsi" w:hAnsiTheme="minorHAnsi"/>
        </w:rPr>
        <w:t xml:space="preserve"> bírósági határozatot közzéteszik a Cégközlönyben. Hivatalosan ez a felszámolás kezdő időpontja (a “</w:t>
      </w:r>
      <w:r w:rsidRPr="003249D9">
        <w:rPr>
          <w:rFonts w:asciiTheme="minorHAnsi" w:hAnsiTheme="minorHAnsi"/>
          <w:b/>
        </w:rPr>
        <w:t>kezdő időpont</w:t>
      </w:r>
      <w:r w:rsidRPr="003249D9">
        <w:rPr>
          <w:rFonts w:asciiTheme="minorHAnsi" w:hAnsiTheme="minorHAnsi"/>
        </w:rPr>
        <w:t xml:space="preserve">”), melyet követően az adós cégnevében megjelenik a </w:t>
      </w:r>
      <w:r w:rsidR="00D44C7F">
        <w:rPr>
          <w:rFonts w:asciiTheme="minorHAnsi" w:hAnsiTheme="minorHAnsi"/>
        </w:rPr>
        <w:t>„</w:t>
      </w:r>
      <w:r w:rsidRPr="003249D9">
        <w:rPr>
          <w:rFonts w:asciiTheme="minorHAnsi" w:hAnsiTheme="minorHAnsi"/>
        </w:rPr>
        <w:t>felszámolás alatt</w:t>
      </w:r>
      <w:r w:rsidR="00D44C7F">
        <w:rPr>
          <w:rFonts w:asciiTheme="minorHAnsi" w:hAnsiTheme="minorHAnsi"/>
        </w:rPr>
        <w:t>”</w:t>
      </w:r>
      <w:r w:rsidRPr="003249D9">
        <w:rPr>
          <w:rFonts w:asciiTheme="minorHAnsi" w:hAnsiTheme="minorHAnsi"/>
        </w:rPr>
        <w:t xml:space="preserve"> (</w:t>
      </w:r>
      <w:proofErr w:type="spellStart"/>
      <w:r w:rsidRPr="003249D9">
        <w:rPr>
          <w:rFonts w:asciiTheme="minorHAnsi" w:hAnsiTheme="minorHAnsi"/>
          <w:i/>
        </w:rPr>
        <w:t>f.a</w:t>
      </w:r>
      <w:proofErr w:type="spellEnd"/>
      <w:r w:rsidRPr="003249D9">
        <w:rPr>
          <w:rFonts w:asciiTheme="minorHAnsi" w:hAnsiTheme="minorHAnsi"/>
          <w:i/>
        </w:rPr>
        <w:t>.</w:t>
      </w:r>
      <w:r w:rsidRPr="003249D9">
        <w:rPr>
          <w:rFonts w:asciiTheme="minorHAnsi" w:hAnsiTheme="minorHAnsi"/>
        </w:rPr>
        <w:t>) toldat.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Ha a bíróság elrendeli az adós felszámolását, akkor elektronikus, véletlenszerű kiválasztással kirendel egy felszámolót a felszámolók névjegyzékéből. A közelmúltban hatályon kívül helyezték a bíró azon törvényes felhatalmazását, hogy alapos okkal és megfelelő indoklással eltérjen a véletlenszerű kiválasztás eredményétől.</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 felszámolási eljárás hossza:</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A </w:t>
      </w:r>
      <w:r w:rsidR="00D44C7F">
        <w:rPr>
          <w:rFonts w:asciiTheme="minorHAnsi" w:hAnsiTheme="minorHAnsi"/>
        </w:rPr>
        <w:t>C</w:t>
      </w:r>
      <w:r w:rsidRPr="003249D9">
        <w:rPr>
          <w:rFonts w:asciiTheme="minorHAnsi" w:hAnsiTheme="minorHAnsi"/>
        </w:rPr>
        <w:t>sődtörvény kimondja, hogy a felszámolási eljárást a kezdő időponttól számítva két éven belül be kell fejezni. Ha azonban peres eljárás van folyamatban a hitelező és az adós között, a végső határidő nem érvényes, és a felszámolást nem lehet lezárni a peres eljárás jogerős és kötelező erejű lezárásáig.</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Az esetek többségében a felszámolási eljárás kilenc hónaptól több mint két évig terjedő ideig tart. Ez több különböző tényezőtől függ, például az ügy nehézségétől és bonyolultságától, az adós eszközeinek mennyiségétől, a felek (tehát a felszámoló, az adós vezető tisztségviselői, a hitelezők és a bíróság) közötti együttműködéstől, az adós eszközeinek a felszámoló által történő eladásától, a nyilvántartásba vett hitelezők számától</w:t>
      </w:r>
      <w:r w:rsidR="00D44C7F">
        <w:rPr>
          <w:rFonts w:asciiTheme="minorHAnsi" w:hAnsiTheme="minorHAnsi"/>
        </w:rPr>
        <w:t>,</w:t>
      </w:r>
      <w:r w:rsidRPr="003249D9">
        <w:rPr>
          <w:rFonts w:asciiTheme="minorHAnsi" w:hAnsiTheme="minorHAnsi"/>
        </w:rPr>
        <w:t xml:space="preserve"> stb.</w:t>
      </w:r>
    </w:p>
    <w:p w:rsidR="00BF6ACB" w:rsidRPr="003249D9" w:rsidRDefault="00AB7CFF" w:rsidP="009A73FD">
      <w:pPr>
        <w:pStyle w:val="TASTextheading2"/>
        <w:numPr>
          <w:ilvl w:val="1"/>
          <w:numId w:val="34"/>
        </w:numPr>
        <w:rPr>
          <w:rFonts w:asciiTheme="minorHAnsi" w:hAnsiTheme="minorHAnsi"/>
        </w:rPr>
      </w:pPr>
      <w:r w:rsidRPr="003249D9">
        <w:rPr>
          <w:rFonts w:asciiTheme="minorHAnsi" w:hAnsiTheme="minorHAnsi"/>
        </w:rPr>
        <w:t>Moratórium és a felszámolás jogi következményei</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felszámolási eljárásban nincs automatikus moratórium. A bíróság azonban az adós kérelmére legfeljebb 45 napos </w:t>
      </w:r>
      <w:r w:rsidR="00D44C7F">
        <w:rPr>
          <w:rFonts w:asciiTheme="minorHAnsi" w:hAnsiTheme="minorHAnsi"/>
        </w:rPr>
        <w:t>fizetési haladékot</w:t>
      </w:r>
      <w:r w:rsidRPr="003249D9">
        <w:rPr>
          <w:rFonts w:asciiTheme="minorHAnsi" w:hAnsiTheme="minorHAnsi"/>
        </w:rPr>
        <w:t xml:space="preserve"> adhat az adósnak az adóssága rendezésére, amennyiben korábban nem került sor olyan csődeljárásra, amelyben nem sikerült </w:t>
      </w:r>
      <w:r w:rsidR="00685415">
        <w:rPr>
          <w:rFonts w:asciiTheme="minorHAnsi" w:hAnsiTheme="minorHAnsi"/>
        </w:rPr>
        <w:t>csőd</w:t>
      </w:r>
      <w:r w:rsidRPr="003249D9">
        <w:rPr>
          <w:rFonts w:asciiTheme="minorHAnsi" w:hAnsiTheme="minorHAnsi"/>
        </w:rPr>
        <w:t>egyezséget kötni a hitelezőkkel, vagy a</w:t>
      </w:r>
      <w:r w:rsidR="00685415">
        <w:rPr>
          <w:rFonts w:asciiTheme="minorHAnsi" w:hAnsiTheme="minorHAnsi"/>
        </w:rPr>
        <w:t xml:space="preserve"> csőd</w:t>
      </w:r>
      <w:r w:rsidRPr="003249D9">
        <w:rPr>
          <w:rFonts w:asciiTheme="minorHAnsi" w:hAnsiTheme="minorHAnsi"/>
        </w:rPr>
        <w:t>egyezség nem felelt meg a vonatkozó jogszabályokban foglaltaknak.</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Egyébként a kezdő időpont többek között az alábbi </w:t>
      </w:r>
      <w:r w:rsidR="00685415">
        <w:rPr>
          <w:rFonts w:asciiTheme="minorHAnsi" w:hAnsiTheme="minorHAnsi"/>
        </w:rPr>
        <w:t>jog</w:t>
      </w:r>
      <w:r w:rsidRPr="003249D9">
        <w:rPr>
          <w:rFonts w:asciiTheme="minorHAnsi" w:hAnsiTheme="minorHAnsi"/>
        </w:rPr>
        <w:t>következményekkel jár:</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az adós ellen fennálló bármilyen pénzbeli követelés a felszámolás alá tartozó vagyonnal kapcsolatban kizárólag a felszámolási eljárás keretében érvényesíthető, és az eszközöket kizárólag a felszámoló értékesítheti</w:t>
      </w:r>
      <w:r w:rsidR="00685415">
        <w:rPr>
          <w:rFonts w:asciiTheme="minorHAnsi" w:hAnsiTheme="minorHAnsi"/>
        </w:rPr>
        <w:t>;</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az adós minden fizetési kötelezettsége </w:t>
      </w:r>
      <w:r w:rsidR="00685415">
        <w:rPr>
          <w:rFonts w:asciiTheme="minorHAnsi" w:hAnsiTheme="minorHAnsi"/>
        </w:rPr>
        <w:t>lejárttá (</w:t>
      </w:r>
      <w:r w:rsidRPr="003249D9">
        <w:rPr>
          <w:rFonts w:asciiTheme="minorHAnsi" w:hAnsiTheme="minorHAnsi"/>
        </w:rPr>
        <w:t>esedékessé</w:t>
      </w:r>
      <w:r w:rsidR="00685415">
        <w:rPr>
          <w:rFonts w:asciiTheme="minorHAnsi" w:hAnsiTheme="minorHAnsi"/>
        </w:rPr>
        <w:t>)</w:t>
      </w:r>
      <w:r w:rsidRPr="003249D9">
        <w:rPr>
          <w:rFonts w:asciiTheme="minorHAnsi" w:hAnsiTheme="minorHAnsi"/>
        </w:rPr>
        <w:t xml:space="preserve"> válik;</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az adós tulajdonában álló eszközökkel </w:t>
      </w:r>
      <w:proofErr w:type="gramStart"/>
      <w:r w:rsidRPr="003249D9">
        <w:rPr>
          <w:rFonts w:asciiTheme="minorHAnsi" w:hAnsiTheme="minorHAnsi"/>
        </w:rPr>
        <w:t>kapcsolatban folyamatban</w:t>
      </w:r>
      <w:proofErr w:type="gramEnd"/>
      <w:r w:rsidRPr="003249D9">
        <w:rPr>
          <w:rFonts w:asciiTheme="minorHAnsi" w:hAnsiTheme="minorHAnsi"/>
        </w:rPr>
        <w:t xml:space="preserve"> lévő végrehajtási eljárásokat a bíróság megszünteti, és az ilyen eljárásokból eredő követeléseket hozzáadja a felszámolás alá tartozó eszközök ellen fennálló követelésekhez</w:t>
      </w:r>
      <w:r w:rsidR="00A00C0E">
        <w:rPr>
          <w:rFonts w:asciiTheme="minorHAnsi" w:hAnsiTheme="minorHAnsi"/>
        </w:rPr>
        <w:t>;</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az adós vezető tisztségviselői és részvényesei elveszítik az ellenőrzésüket az adós tevékenysége fölött, és kizárólag a felszámoló jogosult az adós eszközei</w:t>
      </w:r>
      <w:r w:rsidR="00A00C0E">
        <w:rPr>
          <w:rFonts w:asciiTheme="minorHAnsi" w:hAnsiTheme="minorHAnsi"/>
        </w:rPr>
        <w:t>vel kapcsolatban bármilyen jognyilatkozat megtételére</w:t>
      </w:r>
      <w:r w:rsidRPr="003249D9">
        <w:rPr>
          <w:rFonts w:asciiTheme="minorHAnsi" w:hAnsiTheme="minorHAnsi"/>
        </w:rPr>
        <w:t>; és</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a kezdő időpontban már folyamatban lévő peres eljárások folytatódnak.</w:t>
      </w:r>
    </w:p>
    <w:p w:rsidR="00BF6ACB" w:rsidRPr="003249D9" w:rsidRDefault="00AB7CFF" w:rsidP="009A73FD">
      <w:pPr>
        <w:pStyle w:val="TASTextheading2"/>
        <w:numPr>
          <w:ilvl w:val="1"/>
          <w:numId w:val="34"/>
        </w:numPr>
        <w:rPr>
          <w:rFonts w:asciiTheme="minorHAnsi" w:hAnsiTheme="minorHAnsi"/>
        </w:rPr>
      </w:pPr>
      <w:r w:rsidRPr="003249D9">
        <w:rPr>
          <w:rFonts w:asciiTheme="minorHAnsi" w:hAnsiTheme="minorHAnsi"/>
        </w:rPr>
        <w:t>A hitelezők nyilvántartásba vétele</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hitelezőknek a kezdő időponttól számított 40 napon belül be kell </w:t>
      </w:r>
      <w:r w:rsidR="006572C9">
        <w:rPr>
          <w:rFonts w:asciiTheme="minorHAnsi" w:hAnsiTheme="minorHAnsi"/>
        </w:rPr>
        <w:t>jelenteniük</w:t>
      </w:r>
      <w:r w:rsidR="006572C9" w:rsidRPr="003249D9">
        <w:rPr>
          <w:rFonts w:asciiTheme="minorHAnsi" w:hAnsiTheme="minorHAnsi"/>
        </w:rPr>
        <w:t xml:space="preserve"> </w:t>
      </w:r>
      <w:r w:rsidRPr="003249D9">
        <w:rPr>
          <w:rFonts w:asciiTheme="minorHAnsi" w:hAnsiTheme="minorHAnsi"/>
        </w:rPr>
        <w:t>a követeléseiket a felszámolónak. Az ennél később be</w:t>
      </w:r>
      <w:r w:rsidR="006572C9">
        <w:rPr>
          <w:rFonts w:asciiTheme="minorHAnsi" w:hAnsiTheme="minorHAnsi"/>
        </w:rPr>
        <w:t>jelentett</w:t>
      </w:r>
      <w:r w:rsidRPr="003249D9">
        <w:rPr>
          <w:rFonts w:asciiTheme="minorHAnsi" w:hAnsiTheme="minorHAnsi"/>
        </w:rPr>
        <w:t xml:space="preserve"> követeléseket csak akkor veszik figyelembe, ha a kezdő időponttól számított 40 napon belül nyilvántartásba vett minden követelést kielégítettek, és van még rendelkezésre álló fedezet. Minden követelés</w:t>
      </w:r>
      <w:r w:rsidR="006572C9">
        <w:rPr>
          <w:rFonts w:asciiTheme="minorHAnsi" w:hAnsiTheme="minorHAnsi"/>
        </w:rPr>
        <w:t xml:space="preserve"> bejelentésé</w:t>
      </w:r>
      <w:r w:rsidRPr="003249D9">
        <w:rPr>
          <w:rFonts w:asciiTheme="minorHAnsi" w:hAnsiTheme="minorHAnsi"/>
        </w:rPr>
        <w:t xml:space="preserve">re (biztosított </w:t>
      </w:r>
      <w:r w:rsidR="006572C9">
        <w:rPr>
          <w:rFonts w:asciiTheme="minorHAnsi" w:hAnsiTheme="minorHAnsi"/>
        </w:rPr>
        <w:t>és</w:t>
      </w:r>
      <w:r w:rsidR="006572C9" w:rsidRPr="003249D9">
        <w:rPr>
          <w:rFonts w:asciiTheme="minorHAnsi" w:hAnsiTheme="minorHAnsi"/>
        </w:rPr>
        <w:t xml:space="preserve"> </w:t>
      </w:r>
      <w:r w:rsidRPr="003249D9">
        <w:rPr>
          <w:rFonts w:asciiTheme="minorHAnsi" w:hAnsiTheme="minorHAnsi"/>
        </w:rPr>
        <w:t xml:space="preserve">nem biztosított) 180 napos </w:t>
      </w:r>
      <w:r w:rsidR="006572C9">
        <w:rPr>
          <w:rFonts w:asciiTheme="minorHAnsi" w:hAnsiTheme="minorHAnsi"/>
        </w:rPr>
        <w:t>jogvesztő</w:t>
      </w:r>
      <w:r w:rsidR="006572C9" w:rsidRPr="003249D9">
        <w:rPr>
          <w:rFonts w:asciiTheme="minorHAnsi" w:hAnsiTheme="minorHAnsi"/>
        </w:rPr>
        <w:t xml:space="preserve"> </w:t>
      </w:r>
      <w:r w:rsidRPr="003249D9">
        <w:rPr>
          <w:rFonts w:asciiTheme="minorHAnsi" w:hAnsiTheme="minorHAnsi"/>
        </w:rPr>
        <w:t>határidő érvényes. Ez az időszak a kezdő időpontban kezdődik.</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Ha tehát egy hitelező nem </w:t>
      </w:r>
      <w:r w:rsidR="006572C9">
        <w:rPr>
          <w:rFonts w:asciiTheme="minorHAnsi" w:hAnsiTheme="minorHAnsi"/>
        </w:rPr>
        <w:t>jelenti</w:t>
      </w:r>
      <w:r w:rsidR="006572C9" w:rsidRPr="003249D9">
        <w:rPr>
          <w:rFonts w:asciiTheme="minorHAnsi" w:hAnsiTheme="minorHAnsi"/>
        </w:rPr>
        <w:t xml:space="preserve"> </w:t>
      </w:r>
      <w:r w:rsidRPr="003249D9">
        <w:rPr>
          <w:rFonts w:asciiTheme="minorHAnsi" w:hAnsiTheme="minorHAnsi"/>
        </w:rPr>
        <w:t>be a követelését a 180 napos határidőn belül, akkor elveszíti a jogát arra, hogy törvényes eszközökkel érvényesítse a követelését.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 felszámoló az alábbiak szerint veszi nyilvántartásba a hitelezők követeléseit:</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Biztosított hitelezők, amennyiben a biztosítékot a kezdő időpont előtt kötötték ki.</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Nem biztosított hitelezők követelései az alábbi sorrendben:</w:t>
      </w:r>
    </w:p>
    <w:p w:rsidR="00BF6ACB" w:rsidRPr="003249D9" w:rsidRDefault="00AB7CFF" w:rsidP="009A73FD">
      <w:pPr>
        <w:pStyle w:val="TASBulletnumber"/>
        <w:numPr>
          <w:ilvl w:val="0"/>
          <w:numId w:val="37"/>
        </w:numPr>
        <w:ind w:left="810"/>
        <w:rPr>
          <w:rFonts w:asciiTheme="minorHAnsi" w:hAnsiTheme="minorHAnsi"/>
        </w:rPr>
      </w:pPr>
      <w:r w:rsidRPr="003249D9">
        <w:rPr>
          <w:rFonts w:asciiTheme="minorHAnsi" w:hAnsiTheme="minorHAnsi"/>
        </w:rPr>
        <w:t>felszámolási költségek;</w:t>
      </w:r>
    </w:p>
    <w:p w:rsidR="00BF6ACB" w:rsidRPr="003249D9" w:rsidRDefault="006572C9" w:rsidP="009A73FD">
      <w:pPr>
        <w:pStyle w:val="TASBulletnumber"/>
        <w:numPr>
          <w:ilvl w:val="0"/>
          <w:numId w:val="33"/>
        </w:numPr>
        <w:ind w:left="810"/>
        <w:rPr>
          <w:rFonts w:asciiTheme="minorHAnsi" w:hAnsiTheme="minorHAnsi"/>
        </w:rPr>
      </w:pPr>
      <w:r w:rsidRPr="006572C9">
        <w:rPr>
          <w:rFonts w:asciiTheme="minorHAnsi" w:hAnsiTheme="minorHAnsi"/>
        </w:rPr>
        <w:t>a felszámolás kezdő időpontja előtt körülírással meghatározott zálogtárggyal biztosított követelések a zálogtárgy értékének erejéig</w:t>
      </w:r>
      <w:r w:rsidR="00AB7CFF" w:rsidRPr="003249D9">
        <w:rPr>
          <w:rFonts w:asciiTheme="minorHAnsi" w:hAnsiTheme="minorHAnsi"/>
        </w:rPr>
        <w:t>, a fedezet értékéből az adott hitelezőnek már kifizetett összeg levonása után fennmaradó ös</w:t>
      </w:r>
      <w:r w:rsidR="0098617F">
        <w:rPr>
          <w:rFonts w:asciiTheme="minorHAnsi" w:hAnsiTheme="minorHAnsi"/>
        </w:rPr>
        <w:t>s</w:t>
      </w:r>
      <w:r w:rsidR="00AB7CFF" w:rsidRPr="003249D9">
        <w:rPr>
          <w:rFonts w:asciiTheme="minorHAnsi" w:hAnsiTheme="minorHAnsi"/>
        </w:rPr>
        <w:t>zeg erejéig, a jelen fejezet 5.10 szakasza szerint (</w:t>
      </w:r>
      <w:r w:rsidR="00AB7CFF" w:rsidRPr="003249D9">
        <w:rPr>
          <w:rFonts w:asciiTheme="minorHAnsi" w:hAnsiTheme="minorHAnsi"/>
          <w:i/>
        </w:rPr>
        <w:t>Biztosítékok, követelések elsőbbsége</w:t>
      </w:r>
      <w:r w:rsidR="00AB7CFF" w:rsidRPr="003249D9">
        <w:rPr>
          <w:rFonts w:asciiTheme="minorHAnsi" w:hAnsiTheme="minorHAnsi"/>
        </w:rPr>
        <w:t>);</w:t>
      </w:r>
    </w:p>
    <w:p w:rsidR="00BF6ACB" w:rsidRPr="003249D9" w:rsidRDefault="00AB7CFF" w:rsidP="009A73FD">
      <w:pPr>
        <w:pStyle w:val="TASBulletnumber"/>
        <w:numPr>
          <w:ilvl w:val="0"/>
          <w:numId w:val="33"/>
        </w:numPr>
        <w:ind w:left="810"/>
        <w:rPr>
          <w:rFonts w:asciiTheme="minorHAnsi" w:hAnsiTheme="minorHAnsi"/>
        </w:rPr>
      </w:pPr>
      <w:r w:rsidRPr="003249D9">
        <w:rPr>
          <w:rFonts w:asciiTheme="minorHAnsi" w:hAnsiTheme="minorHAnsi"/>
        </w:rPr>
        <w:t>tartásdíj követelések, életjáradék fizetések és hasonló követelések;</w:t>
      </w:r>
    </w:p>
    <w:p w:rsidR="00BF6ACB" w:rsidRPr="003249D9" w:rsidRDefault="00AB7CFF" w:rsidP="009A73FD">
      <w:pPr>
        <w:pStyle w:val="TASBulletnumber"/>
        <w:numPr>
          <w:ilvl w:val="0"/>
          <w:numId w:val="33"/>
        </w:numPr>
        <w:ind w:left="810"/>
        <w:rPr>
          <w:rFonts w:asciiTheme="minorHAnsi" w:hAnsiTheme="minorHAnsi"/>
        </w:rPr>
      </w:pPr>
      <w:r w:rsidRPr="003249D9">
        <w:rPr>
          <w:rFonts w:asciiTheme="minorHAnsi" w:hAnsiTheme="minorHAnsi"/>
        </w:rPr>
        <w:lastRenderedPageBreak/>
        <w:t>magánszemélyek nem üzleti tevékenységből származó követelései, kis- és középvállalkozások követelései, valamint mezőgazdasági kistermelők követelései;</w:t>
      </w:r>
    </w:p>
    <w:p w:rsidR="00BF6ACB" w:rsidRPr="003249D9" w:rsidRDefault="00AB7CFF" w:rsidP="009A73FD">
      <w:pPr>
        <w:pStyle w:val="TASBulletnumber"/>
        <w:numPr>
          <w:ilvl w:val="0"/>
          <w:numId w:val="33"/>
        </w:numPr>
        <w:ind w:left="810"/>
        <w:rPr>
          <w:rFonts w:asciiTheme="minorHAnsi" w:hAnsiTheme="minorHAnsi"/>
        </w:rPr>
      </w:pPr>
      <w:r w:rsidRPr="003249D9">
        <w:rPr>
          <w:rFonts w:asciiTheme="minorHAnsi" w:hAnsiTheme="minorHAnsi"/>
        </w:rPr>
        <w:t>társadalombiztosítási követelések, lejárt nyugdíjpénztár tagsági díjak, adók és visszatérítendő állami támogatások, víz- és csatornadíjak, valamint az adós vagyonának kezelésével kapcsolatos költségek</w:t>
      </w:r>
      <w:r w:rsidR="0098617F">
        <w:rPr>
          <w:rFonts w:asciiTheme="minorHAnsi" w:hAnsiTheme="minorHAnsi"/>
        </w:rPr>
        <w:t>;</w:t>
      </w:r>
    </w:p>
    <w:p w:rsidR="00BF6ACB" w:rsidRPr="003249D9" w:rsidRDefault="00AB7CFF" w:rsidP="009A73FD">
      <w:pPr>
        <w:pStyle w:val="TASBulletnumber"/>
        <w:numPr>
          <w:ilvl w:val="0"/>
          <w:numId w:val="33"/>
        </w:numPr>
        <w:ind w:left="810"/>
        <w:rPr>
          <w:rFonts w:asciiTheme="minorHAnsi" w:hAnsiTheme="minorHAnsi"/>
        </w:rPr>
      </w:pPr>
      <w:r w:rsidRPr="003249D9">
        <w:rPr>
          <w:rFonts w:asciiTheme="minorHAnsi" w:hAnsiTheme="minorHAnsi"/>
        </w:rPr>
        <w:t>egyéb követelések;</w:t>
      </w:r>
    </w:p>
    <w:p w:rsidR="00BF6ACB" w:rsidRPr="003249D9" w:rsidRDefault="00AB7CFF" w:rsidP="009A73FD">
      <w:pPr>
        <w:pStyle w:val="TASBulletnumber"/>
        <w:numPr>
          <w:ilvl w:val="0"/>
          <w:numId w:val="33"/>
        </w:numPr>
        <w:ind w:left="810"/>
        <w:rPr>
          <w:rFonts w:asciiTheme="minorHAnsi" w:hAnsiTheme="minorHAnsi"/>
        </w:rPr>
      </w:pPr>
      <w:r w:rsidRPr="003249D9">
        <w:rPr>
          <w:rFonts w:asciiTheme="minorHAnsi" w:hAnsiTheme="minorHAnsi"/>
        </w:rPr>
        <w:t>késedelmi kamatok, valamint büntetések és hasonló követelések; valamint</w:t>
      </w:r>
    </w:p>
    <w:p w:rsidR="00BF6ACB" w:rsidRPr="003249D9" w:rsidRDefault="00AB7CFF" w:rsidP="009A73FD">
      <w:pPr>
        <w:pStyle w:val="TASBulletnumber"/>
        <w:numPr>
          <w:ilvl w:val="0"/>
          <w:numId w:val="33"/>
        </w:numPr>
        <w:ind w:left="810"/>
        <w:rPr>
          <w:rFonts w:asciiTheme="minorHAnsi" w:hAnsiTheme="minorHAnsi"/>
        </w:rPr>
      </w:pPr>
      <w:r w:rsidRPr="003249D9">
        <w:rPr>
          <w:rFonts w:asciiTheme="minorHAnsi" w:hAnsiTheme="minorHAnsi"/>
        </w:rPr>
        <w:t>az adóssal társult személyek vagy gazdálkodó szervezetek követelései és az adóssal kötött ingyenes szerződések kedvezményezettjeinek követelései.</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Egy követelés akkor minősíthető vitatottnak, ha peres eljárás van folyamatban vele kapcsolatban, vagy pedig akkor, ha nem folyik peres eljárás, de a felszámoló egyéb okokból vitatottnak minősíti a követelést. A vitatott követeléssel rendelkező hitelezők nem jogosultak szavazni a</w:t>
      </w:r>
      <w:r w:rsidR="0098617F">
        <w:rPr>
          <w:rFonts w:asciiTheme="minorHAnsi" w:hAnsiTheme="minorHAnsi"/>
        </w:rPr>
        <w:t>z egyezségi tárgyaláson</w:t>
      </w:r>
      <w:r w:rsidRPr="003249D9">
        <w:rPr>
          <w:rFonts w:asciiTheme="minorHAnsi" w:hAnsiTheme="minorHAnsi"/>
        </w:rPr>
        <w:t>. Jogosultak azonban a követelésüket biztosító tartalékra vagy fedezetre addig, ameddig a követelésüket megerősíti egy jogerős bírósági határozat.</w:t>
      </w:r>
    </w:p>
    <w:p w:rsidR="00BF6ACB" w:rsidRPr="003249D9" w:rsidRDefault="0098617F" w:rsidP="009A73FD">
      <w:pPr>
        <w:pStyle w:val="TASTextheading2"/>
        <w:numPr>
          <w:ilvl w:val="1"/>
          <w:numId w:val="34"/>
        </w:numPr>
        <w:rPr>
          <w:rFonts w:asciiTheme="minorHAnsi" w:hAnsiTheme="minorHAnsi"/>
        </w:rPr>
      </w:pPr>
      <w:r>
        <w:rPr>
          <w:rFonts w:asciiTheme="minorHAnsi" w:hAnsiTheme="minorHAnsi"/>
        </w:rPr>
        <w:t>Egyezségi tárgyalások</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w:t>
      </w:r>
      <w:r w:rsidR="0098617F">
        <w:rPr>
          <w:rFonts w:asciiTheme="minorHAnsi" w:hAnsiTheme="minorHAnsi"/>
        </w:rPr>
        <w:t xml:space="preserve">z egyezségi </w:t>
      </w:r>
      <w:proofErr w:type="spellStart"/>
      <w:r w:rsidR="0098617F">
        <w:rPr>
          <w:rFonts w:asciiTheme="minorHAnsi" w:hAnsiTheme="minorHAnsi"/>
        </w:rPr>
        <w:t>tárgyalások</w:t>
      </w:r>
      <w:r w:rsidRPr="003249D9">
        <w:rPr>
          <w:rFonts w:asciiTheme="minorHAnsi" w:hAnsiTheme="minorHAnsi"/>
        </w:rPr>
        <w:t>nem</w:t>
      </w:r>
      <w:proofErr w:type="spellEnd"/>
      <w:r w:rsidRPr="003249D9">
        <w:rPr>
          <w:rFonts w:asciiTheme="minorHAnsi" w:hAnsiTheme="minorHAnsi"/>
        </w:rPr>
        <w:t xml:space="preserve"> határozzák meg a felszámolási eljárások menetét olyan mértékben, mint a csődeljárások esetében.</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 felszámolási eljárásban is lehet azonban egyezséget kötni. A kezdő időponttól számított 40 nap eltelte után, de a felszámolási zárómérlegnek a bírósághoz történő benyújtásáig a hitelezők és az adós között bármikor helye van egyezségnek.</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 felszámolási eljárásban csak akkor kerülhet sor egyezségre, ha minden hitelezői csoportban az egyezség megkötésére jogosult hitelezőknek legalább a fele beleegyezését adja, feltéve, hogy az egyezséget támogató hitelezők követelései az egyezség megkötésére jogosult hitelezők által támasztott összes követelésnek legalább a kétharmadát teszik ki.</w:t>
      </w:r>
      <w:r w:rsidRPr="003249D9">
        <w:rPr>
          <w:rStyle w:val="FootnoteReference"/>
          <w:rFonts w:asciiTheme="minorHAnsi" w:hAnsiTheme="minorHAnsi"/>
        </w:rPr>
        <w:footnoteReference w:id="6"/>
      </w:r>
      <w:r w:rsidRPr="003249D9">
        <w:rPr>
          <w:rFonts w:asciiTheme="minorHAnsi" w:hAnsiTheme="minorHAnsi"/>
        </w:rPr>
        <w:t xml:space="preserve"> A gyakorlatban a felszámolási eljárásokban meglehetősen ritka a sikeres egyezség.</w:t>
      </w:r>
    </w:p>
    <w:p w:rsidR="00BF6ACB" w:rsidRPr="003249D9" w:rsidRDefault="00AB7CFF" w:rsidP="009A73FD">
      <w:pPr>
        <w:pStyle w:val="TASTextheading2"/>
        <w:numPr>
          <w:ilvl w:val="1"/>
          <w:numId w:val="34"/>
        </w:numPr>
        <w:rPr>
          <w:rFonts w:asciiTheme="minorHAnsi" w:hAnsiTheme="minorHAnsi"/>
        </w:rPr>
      </w:pPr>
      <w:r w:rsidRPr="003249D9">
        <w:rPr>
          <w:rFonts w:asciiTheme="minorHAnsi" w:hAnsiTheme="minorHAnsi"/>
        </w:rPr>
        <w:t>A vezető</w:t>
      </w:r>
      <w:r w:rsidR="0098617F">
        <w:rPr>
          <w:rFonts w:asciiTheme="minorHAnsi" w:hAnsiTheme="minorHAnsi"/>
        </w:rPr>
        <w:t xml:space="preserve"> tisztségviselő</w:t>
      </w:r>
      <w:r w:rsidRPr="003249D9">
        <w:rPr>
          <w:rFonts w:asciiTheme="minorHAnsi" w:hAnsiTheme="minorHAnsi"/>
        </w:rPr>
        <w:t>k feladatai és felelőssége</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Bár a felszámolási eljárás alatt a felszámoló jár el az adós nevében, az adós vezetői számos olyan kötelezettséggel rendelkeznek, amelyek főleg a felszámolási eljárás megindításával kapcsolatosak. E kötelezettségek főleg a felszámolóval történő együttműködést foglalják magukban, melynek során át kell adniuk a felszámolónak az adós tevékenységével kapcsolatos minden dokumentációt és vonatkozó információt, beleértve a zárómérleget és a </w:t>
      </w:r>
      <w:proofErr w:type="spellStart"/>
      <w:r w:rsidRPr="003249D9">
        <w:rPr>
          <w:rFonts w:asciiTheme="minorHAnsi" w:hAnsiTheme="minorHAnsi"/>
        </w:rPr>
        <w:t>záróleltárt</w:t>
      </w:r>
      <w:proofErr w:type="spellEnd"/>
      <w:r w:rsidRPr="003249D9">
        <w:rPr>
          <w:rFonts w:asciiTheme="minorHAnsi" w:hAnsiTheme="minorHAnsi"/>
        </w:rPr>
        <w:t xml:space="preserve"> is.</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Egy speciális felelősségi rendszer biztosítja, hogy a felszámolási eljárás alatt bármely hitelező vagy maga a felszámoló is (az adós nevében) kérheti az illetékes bíróságot annak megállapítására, hogy azok a személyek, akik a kezdő időpontot megelőző hároméves időszakban az adós vezető tisztségviselői voltak, nem vették figyelembe a hitelezők érdekeit az irányítási feladataik ellátása során</w:t>
      </w:r>
      <w:r w:rsidR="0098617F">
        <w:rPr>
          <w:rFonts w:asciiTheme="minorHAnsi" w:hAnsiTheme="minorHAnsi"/>
        </w:rPr>
        <w:t>, azt követően, hogy</w:t>
      </w:r>
      <w:r w:rsidRPr="003249D9">
        <w:rPr>
          <w:rFonts w:asciiTheme="minorHAnsi" w:hAnsiTheme="minorHAnsi"/>
        </w:rPr>
        <w:t xml:space="preserve"> a fizetésképtelenség</w:t>
      </w:r>
      <w:r w:rsidR="0098617F">
        <w:rPr>
          <w:rFonts w:asciiTheme="minorHAnsi" w:hAnsiTheme="minorHAnsi"/>
        </w:rPr>
        <w:t>gel fenyegető helyzet bekövetkezett</w:t>
      </w:r>
      <w:r w:rsidRPr="003249D9">
        <w:rPr>
          <w:rFonts w:asciiTheme="minorHAnsi" w:hAnsiTheme="minorHAnsi"/>
        </w:rPr>
        <w:t>. Ilyen bírósági határozatot akkor lehet hozni, ha a vezető tisztségviselők fenti mulasztása azt eredményezi, hogy</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csökken</w:t>
      </w:r>
      <w:r w:rsidR="0098617F">
        <w:rPr>
          <w:rFonts w:asciiTheme="minorHAnsi" w:hAnsiTheme="minorHAnsi"/>
        </w:rPr>
        <w:t>t</w:t>
      </w:r>
      <w:r w:rsidRPr="003249D9">
        <w:rPr>
          <w:rFonts w:asciiTheme="minorHAnsi" w:hAnsiTheme="minorHAnsi"/>
        </w:rPr>
        <w:t xml:space="preserve"> a</w:t>
      </w:r>
      <w:r w:rsidR="0098617F">
        <w:rPr>
          <w:rFonts w:asciiTheme="minorHAnsi" w:hAnsiTheme="minorHAnsi"/>
        </w:rPr>
        <w:t>z adós</w:t>
      </w:r>
      <w:r w:rsidR="0098617F" w:rsidRPr="003249D9">
        <w:rPr>
          <w:rFonts w:asciiTheme="minorHAnsi" w:hAnsiTheme="minorHAnsi"/>
        </w:rPr>
        <w:t xml:space="preserve"> </w:t>
      </w:r>
      <w:r w:rsidRPr="003249D9">
        <w:rPr>
          <w:rFonts w:asciiTheme="minorHAnsi" w:hAnsiTheme="minorHAnsi"/>
        </w:rPr>
        <w:t>vagyonának értéke; vagy</w:t>
      </w:r>
    </w:p>
    <w:p w:rsidR="00BF6ACB" w:rsidRPr="003249D9" w:rsidRDefault="0098617F" w:rsidP="009A73FD">
      <w:pPr>
        <w:pStyle w:val="TASBullet2"/>
        <w:numPr>
          <w:ilvl w:val="1"/>
          <w:numId w:val="39"/>
        </w:numPr>
        <w:rPr>
          <w:rFonts w:asciiTheme="minorHAnsi" w:hAnsiTheme="minorHAnsi"/>
        </w:rPr>
      </w:pPr>
      <w:r w:rsidRPr="0098617F">
        <w:rPr>
          <w:rFonts w:asciiTheme="minorHAnsi" w:hAnsiTheme="minorHAnsi"/>
        </w:rPr>
        <w:t>a hitelezők követeléseinek teljes mértékben történő kielégítését meghiúsították</w:t>
      </w:r>
      <w:r w:rsidR="00AB7CFF" w:rsidRPr="003249D9">
        <w:rPr>
          <w:rFonts w:asciiTheme="minorHAnsi" w:hAnsiTheme="minorHAnsi"/>
        </w:rPr>
        <w:t>; vagy</w:t>
      </w:r>
    </w:p>
    <w:p w:rsidR="00BF6ACB" w:rsidRPr="003249D9" w:rsidRDefault="0098617F" w:rsidP="009A73FD">
      <w:pPr>
        <w:pStyle w:val="TASBullet2"/>
        <w:numPr>
          <w:ilvl w:val="1"/>
          <w:numId w:val="39"/>
        </w:numPr>
        <w:rPr>
          <w:rFonts w:asciiTheme="minorHAnsi" w:hAnsiTheme="minorHAnsi"/>
        </w:rPr>
      </w:pPr>
      <w:r w:rsidRPr="0098617F">
        <w:rPr>
          <w:rFonts w:asciiTheme="minorHAnsi" w:hAnsiTheme="minorHAnsi"/>
        </w:rPr>
        <w:t>elmulasztották a környezeti terhek rendezését</w:t>
      </w:r>
      <w:r w:rsidR="00AB7CFF" w:rsidRPr="003249D9">
        <w:rPr>
          <w:rFonts w:asciiTheme="minorHAnsi" w:hAnsiTheme="minorHAnsi"/>
        </w:rPr>
        <w: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Az "árnyék-igazgatók” (tehát az adós döntéseire jelentős befolyást gyakoroló személyek) a fenti felelősségi rendszer alkalmazásában szintén az adós vezető tisztségviselőinek tekintendők.</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Ami az időzítést illeti, a hitelezők és a felszámoló nem köteles megvárni a felszámolási eljárás lezárását a</w:t>
      </w:r>
      <w:r w:rsidR="0098617F">
        <w:rPr>
          <w:rFonts w:asciiTheme="minorHAnsi" w:hAnsiTheme="minorHAnsi"/>
        </w:rPr>
        <w:t xml:space="preserve"> vezető </w:t>
      </w:r>
      <w:proofErr w:type="spellStart"/>
      <w:r w:rsidR="0098617F">
        <w:rPr>
          <w:rFonts w:asciiTheme="minorHAnsi" w:hAnsiTheme="minorHAnsi"/>
        </w:rPr>
        <w:t>tisztségviselők</w:t>
      </w:r>
      <w:r w:rsidRPr="003249D9">
        <w:rPr>
          <w:rFonts w:asciiTheme="minorHAnsi" w:hAnsiTheme="minorHAnsi"/>
        </w:rPr>
        <w:t>felelősség</w:t>
      </w:r>
      <w:r w:rsidR="0098617F">
        <w:rPr>
          <w:rFonts w:asciiTheme="minorHAnsi" w:hAnsiTheme="minorHAnsi"/>
        </w:rPr>
        <w:t>ének</w:t>
      </w:r>
      <w:proofErr w:type="spellEnd"/>
      <w:r w:rsidRPr="003249D9">
        <w:rPr>
          <w:rFonts w:asciiTheme="minorHAnsi" w:hAnsiTheme="minorHAnsi"/>
        </w:rPr>
        <w:t xml:space="preserve"> alkalmazásával. Egy vezető tisztségviselő ellen akkor is </w:t>
      </w:r>
      <w:proofErr w:type="spellStart"/>
      <w:r w:rsidRPr="003249D9">
        <w:rPr>
          <w:rFonts w:asciiTheme="minorHAnsi" w:hAnsiTheme="minorHAnsi"/>
        </w:rPr>
        <w:t>elindithatják</w:t>
      </w:r>
      <w:proofErr w:type="spellEnd"/>
      <w:r w:rsidRPr="003249D9">
        <w:rPr>
          <w:rFonts w:asciiTheme="minorHAnsi" w:hAnsiTheme="minorHAnsi"/>
        </w:rPr>
        <w:t xml:space="preserve"> a fenti eljárást, ha a bíróság jóváhagyta a </w:t>
      </w:r>
      <w:r w:rsidR="0098617F">
        <w:rPr>
          <w:rFonts w:asciiTheme="minorHAnsi" w:hAnsiTheme="minorHAnsi"/>
        </w:rPr>
        <w:t>közbenső</w:t>
      </w:r>
      <w:r w:rsidR="0098617F" w:rsidRPr="003249D9">
        <w:rPr>
          <w:rFonts w:asciiTheme="minorHAnsi" w:hAnsiTheme="minorHAnsi"/>
        </w:rPr>
        <w:t xml:space="preserve"> </w:t>
      </w:r>
      <w:r w:rsidRPr="003249D9">
        <w:rPr>
          <w:rFonts w:asciiTheme="minorHAnsi" w:hAnsiTheme="minorHAnsi"/>
        </w:rPr>
        <w:t xml:space="preserve">mérleget és a </w:t>
      </w:r>
      <w:r w:rsidR="0098617F">
        <w:rPr>
          <w:rFonts w:asciiTheme="minorHAnsi" w:hAnsiTheme="minorHAnsi"/>
        </w:rPr>
        <w:t xml:space="preserve">részleges vagyonfelosztási </w:t>
      </w:r>
      <w:r w:rsidRPr="003249D9">
        <w:rPr>
          <w:rFonts w:asciiTheme="minorHAnsi" w:hAnsiTheme="minorHAnsi"/>
        </w:rPr>
        <w:t>javaslatot, feltéve, hogy a dokumentumok arról tanúskodnak, hogy az adós eszközei nem nyújtanak elegendő fedezetet a hitelezők követeléseinek kielégítésére.</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fentiekben leírt konkrét felelősség mellett az Új Polgári Törvénykönyv általános szabályai is érvényesek. E szabályok szerint a vezető tisztségviselőnek a vállalat elsődleges érdekei szerint kell ellátnia a feladatait. Miután azonban értesült a </w:t>
      </w:r>
      <w:r w:rsidRPr="003249D9">
        <w:rPr>
          <w:rFonts w:asciiTheme="minorHAnsi" w:hAnsiTheme="minorHAnsi"/>
        </w:rPr>
        <w:lastRenderedPageBreak/>
        <w:t>fizetésképtelenség</w:t>
      </w:r>
      <w:r w:rsidR="0098617F">
        <w:rPr>
          <w:rFonts w:asciiTheme="minorHAnsi" w:hAnsiTheme="minorHAnsi"/>
        </w:rPr>
        <w:t>gel fenyegető helyzet bekövetkeztéről</w:t>
      </w:r>
      <w:r w:rsidRPr="003249D9">
        <w:rPr>
          <w:rFonts w:asciiTheme="minorHAnsi" w:hAnsiTheme="minorHAnsi"/>
        </w:rPr>
        <w:t xml:space="preserve">, a vezető tisztségviselőnek figyelembe kell vennie a hitelezők érdekeit is. Amennyiben a vezető tisztségviselő nem teljesíti ezt a kötelezettségét, a hitelezők kártérítést követelhetnek a vezető tisztségviselőtől a fennálló követeléseik összegéig a </w:t>
      </w:r>
      <w:r w:rsidR="006E4859">
        <w:rPr>
          <w:rFonts w:asciiTheme="minorHAnsi" w:hAnsiTheme="minorHAnsi"/>
        </w:rPr>
        <w:t>szerződésen kívüli kár szabályai</w:t>
      </w:r>
      <w:r w:rsidRPr="003249D9">
        <w:rPr>
          <w:rFonts w:asciiTheme="minorHAnsi" w:hAnsiTheme="minorHAnsi"/>
        </w:rPr>
        <w:t xml:space="preserve"> alapján.</w:t>
      </w:r>
    </w:p>
    <w:p w:rsidR="00BF6ACB" w:rsidRPr="003249D9" w:rsidRDefault="00AB7CFF" w:rsidP="009A73FD">
      <w:pPr>
        <w:pStyle w:val="TASTextheading2"/>
        <w:numPr>
          <w:ilvl w:val="1"/>
          <w:numId w:val="34"/>
        </w:numPr>
        <w:rPr>
          <w:rFonts w:asciiTheme="minorHAnsi" w:hAnsiTheme="minorHAnsi"/>
        </w:rPr>
      </w:pPr>
      <w:r w:rsidRPr="003249D9">
        <w:rPr>
          <w:rFonts w:asciiTheme="minorHAnsi" w:hAnsiTheme="minorHAnsi"/>
        </w:rPr>
        <w:t>A</w:t>
      </w:r>
      <w:r w:rsidR="00414562">
        <w:rPr>
          <w:rFonts w:asciiTheme="minorHAnsi" w:hAnsiTheme="minorHAnsi"/>
        </w:rPr>
        <w:t>z adós tulajdonosainak</w:t>
      </w:r>
      <w:r w:rsidRPr="003249D9">
        <w:rPr>
          <w:rFonts w:asciiTheme="minorHAnsi" w:hAnsiTheme="minorHAnsi"/>
        </w:rPr>
        <w:t xml:space="preserve"> feladatai és felelőssége</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kezdő időponttól kezdve nem a </w:t>
      </w:r>
      <w:r w:rsidR="00336156">
        <w:rPr>
          <w:rFonts w:asciiTheme="minorHAnsi" w:hAnsiTheme="minorHAnsi"/>
        </w:rPr>
        <w:t>tulajdonosok</w:t>
      </w:r>
      <w:r w:rsidR="00336156" w:rsidRPr="003249D9">
        <w:rPr>
          <w:rFonts w:asciiTheme="minorHAnsi" w:hAnsiTheme="minorHAnsi"/>
        </w:rPr>
        <w:t xml:space="preserve"> </w:t>
      </w:r>
      <w:r w:rsidRPr="003249D9">
        <w:rPr>
          <w:rFonts w:asciiTheme="minorHAnsi" w:hAnsiTheme="minorHAnsi"/>
        </w:rPr>
        <w:t>irányítják az adós működését. Továbbra is jogosultak azonban az adósban fennálló tagsági részesedésük ellenőrzésére.</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w:t>
      </w:r>
      <w:r w:rsidR="00336156">
        <w:rPr>
          <w:rFonts w:asciiTheme="minorHAnsi" w:hAnsiTheme="minorHAnsi"/>
        </w:rPr>
        <w:t>tulajdonosok</w:t>
      </w:r>
      <w:r w:rsidR="00336156" w:rsidRPr="003249D9">
        <w:rPr>
          <w:rFonts w:asciiTheme="minorHAnsi" w:hAnsiTheme="minorHAnsi"/>
        </w:rPr>
        <w:t xml:space="preserve"> </w:t>
      </w:r>
      <w:r w:rsidRPr="003249D9">
        <w:rPr>
          <w:rFonts w:asciiTheme="minorHAnsi" w:hAnsiTheme="minorHAnsi"/>
        </w:rPr>
        <w:t xml:space="preserve">és a korábbi </w:t>
      </w:r>
      <w:r w:rsidR="00336156">
        <w:rPr>
          <w:rFonts w:asciiTheme="minorHAnsi" w:hAnsiTheme="minorHAnsi"/>
        </w:rPr>
        <w:t>tulajdonosok</w:t>
      </w:r>
      <w:r w:rsidR="00336156" w:rsidRPr="003249D9">
        <w:rPr>
          <w:rFonts w:asciiTheme="minorHAnsi" w:hAnsiTheme="minorHAnsi"/>
        </w:rPr>
        <w:t xml:space="preserve"> </w:t>
      </w:r>
      <w:r w:rsidRPr="003249D9">
        <w:rPr>
          <w:rFonts w:asciiTheme="minorHAnsi" w:hAnsiTheme="minorHAnsi"/>
        </w:rPr>
        <w:t>az alábbi felelősségi rendszer szerint tehetők felelőssé a hitelezők nem teljesített követeléseiért:</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A </w:t>
      </w:r>
      <w:r w:rsidR="00336156">
        <w:rPr>
          <w:rFonts w:asciiTheme="minorHAnsi" w:hAnsiTheme="minorHAnsi"/>
        </w:rPr>
        <w:t>vagyoni hányad rosszhiszemű</w:t>
      </w:r>
      <w:r w:rsidRPr="003249D9">
        <w:rPr>
          <w:rFonts w:asciiTheme="minorHAnsi" w:hAnsiTheme="minorHAnsi"/>
        </w:rPr>
        <w:t xml:space="preserve"> átruházása, amelyet a kezdő időpont</w:t>
      </w:r>
      <w:r w:rsidR="00336156">
        <w:rPr>
          <w:rFonts w:asciiTheme="minorHAnsi" w:hAnsiTheme="minorHAnsi"/>
        </w:rPr>
        <w:t>ot megelőző</w:t>
      </w:r>
      <w:r w:rsidRPr="003249D9">
        <w:rPr>
          <w:rFonts w:asciiTheme="minorHAnsi" w:hAnsiTheme="minorHAnsi"/>
        </w:rPr>
        <w:t xml:space="preserve"> három éven belül végrehajtott átruházásokra lehet megállapítani, ha az adós </w:t>
      </w:r>
      <w:r w:rsidR="00336156">
        <w:rPr>
          <w:rFonts w:asciiTheme="minorHAnsi" w:hAnsiTheme="minorHAnsi"/>
        </w:rPr>
        <w:t>közbenső</w:t>
      </w:r>
      <w:r w:rsidR="00336156" w:rsidRPr="003249D9">
        <w:rPr>
          <w:rFonts w:asciiTheme="minorHAnsi" w:hAnsiTheme="minorHAnsi"/>
        </w:rPr>
        <w:t xml:space="preserve"> </w:t>
      </w:r>
      <w:r w:rsidRPr="003249D9">
        <w:rPr>
          <w:rFonts w:asciiTheme="minorHAnsi" w:hAnsiTheme="minorHAnsi"/>
        </w:rPr>
        <w:t>felszámolási mérlege szerint az adós összesített adóssága meghaladja az adós jegyzett tőkéjének 50%-át.</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A részvényes korlátlan felelősségével történő visszaélés (a vállalati lepel </w:t>
      </w:r>
      <w:r w:rsidR="00336156">
        <w:rPr>
          <w:rFonts w:asciiTheme="minorHAnsi" w:hAnsiTheme="minorHAnsi"/>
        </w:rPr>
        <w:t>átszúrása</w:t>
      </w:r>
      <w:r w:rsidRPr="003249D9">
        <w:rPr>
          <w:rFonts w:asciiTheme="minorHAnsi" w:hAnsiTheme="minorHAnsi"/>
        </w:rPr>
        <w:t>), ha az adós</w:t>
      </w:r>
      <w:r w:rsidR="00336156">
        <w:rPr>
          <w:rFonts w:asciiTheme="minorHAnsi" w:hAnsiTheme="minorHAnsi"/>
        </w:rPr>
        <w:t xml:space="preserve"> jogutód nélkül megszűnik</w:t>
      </w:r>
      <w:r w:rsidRPr="003249D9">
        <w:rPr>
          <w:rFonts w:asciiTheme="minorHAnsi" w:hAnsiTheme="minorHAnsi"/>
        </w:rPr>
        <w:t>, és nem teljesíti a hitelezőkkel szemben fennálló kötelezettségeit; valamint</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Tartósan hátrányos üzletpolitika folytatása esetén, amely olyan </w:t>
      </w:r>
      <w:r w:rsidR="00336156">
        <w:rPr>
          <w:rFonts w:asciiTheme="minorHAnsi" w:hAnsiTheme="minorHAnsi"/>
        </w:rPr>
        <w:t>tulajdonosnál</w:t>
      </w:r>
      <w:r w:rsidR="00336156" w:rsidRPr="003249D9">
        <w:rPr>
          <w:rFonts w:asciiTheme="minorHAnsi" w:hAnsiTheme="minorHAnsi"/>
        </w:rPr>
        <w:t xml:space="preserve"> </w:t>
      </w:r>
      <w:r w:rsidRPr="003249D9">
        <w:rPr>
          <w:rFonts w:asciiTheme="minorHAnsi" w:hAnsiTheme="minorHAnsi"/>
        </w:rPr>
        <w:t xml:space="preserve">állapítható meg, aki közvetlenül vagy közvetett módon a részvények vagy a szavazatok legalább 75%-át birtokolja az adósban, és úgy irányította az adós tevékenységét, hogy azzal meghaladta az elfogadható üzleti kockázatot. </w:t>
      </w:r>
    </w:p>
    <w:p w:rsidR="00BF6ACB" w:rsidRPr="003249D9" w:rsidRDefault="00AB7CFF" w:rsidP="009A73FD">
      <w:pPr>
        <w:pStyle w:val="TASTextheading2"/>
        <w:numPr>
          <w:ilvl w:val="1"/>
          <w:numId w:val="34"/>
        </w:numPr>
        <w:rPr>
          <w:rFonts w:asciiTheme="minorHAnsi" w:hAnsiTheme="minorHAnsi"/>
        </w:rPr>
      </w:pPr>
      <w:r w:rsidRPr="003249D9">
        <w:rPr>
          <w:rFonts w:asciiTheme="minorHAnsi" w:hAnsiTheme="minorHAnsi"/>
        </w:rPr>
        <w:t>A felszámoló szerepe és felelőssége</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 vagyonfelügyelő eltérő szerepéből adódóan (és mivel csődeljárások során az adós birtokban van) a felszámoló kiterjedtebb jogokkal rendelkezik, mint a vagyonfelügyelő. A felszámoló a kezdő időponttól fogva a felszámolás elsődleges irányítója. Mivel a bíróság által kirendelt felszámoló szervezet az ügy</w:t>
      </w:r>
      <w:r w:rsidR="0053356C">
        <w:rPr>
          <w:rFonts w:asciiTheme="minorHAnsi" w:hAnsiTheme="minorHAnsi"/>
        </w:rPr>
        <w:t xml:space="preserve"> vitelére </w:t>
      </w:r>
      <w:r w:rsidRPr="003249D9">
        <w:rPr>
          <w:rFonts w:asciiTheme="minorHAnsi" w:hAnsiTheme="minorHAnsi"/>
        </w:rPr>
        <w:t xml:space="preserve">egy magánszemély </w:t>
      </w:r>
      <w:proofErr w:type="spellStart"/>
      <w:r w:rsidRPr="003249D9">
        <w:rPr>
          <w:rFonts w:asciiTheme="minorHAnsi" w:hAnsiTheme="minorHAnsi"/>
        </w:rPr>
        <w:t>felszámoló</w:t>
      </w:r>
      <w:r w:rsidR="0053356C">
        <w:rPr>
          <w:rFonts w:asciiTheme="minorHAnsi" w:hAnsiTheme="minorHAnsi"/>
        </w:rPr>
        <w:t>biztost</w:t>
      </w:r>
      <w:proofErr w:type="spellEnd"/>
      <w:r w:rsidR="0053356C">
        <w:rPr>
          <w:rFonts w:asciiTheme="minorHAnsi" w:hAnsiTheme="minorHAnsi"/>
        </w:rPr>
        <w:t xml:space="preserve"> jelöl ki</w:t>
      </w:r>
      <w:r w:rsidRPr="003249D9">
        <w:rPr>
          <w:rFonts w:asciiTheme="minorHAnsi" w:hAnsiTheme="minorHAnsi"/>
        </w:rPr>
        <w:t xml:space="preserve">, ennek a személynek a szakmai hozzáállása határozza meg a felszámolás általános menetét és időzítését, beleértve az adós eszközeinek értékesítését is. A felszámolónak jogában áll felmondani az adós megállapodásait vagy </w:t>
      </w:r>
      <w:r w:rsidR="00336156">
        <w:rPr>
          <w:rFonts w:asciiTheme="minorHAnsi" w:hAnsiTheme="minorHAnsi"/>
        </w:rPr>
        <w:t>megtámadni</w:t>
      </w:r>
      <w:r w:rsidR="00336156" w:rsidRPr="003249D9">
        <w:rPr>
          <w:rFonts w:asciiTheme="minorHAnsi" w:hAnsiTheme="minorHAnsi"/>
        </w:rPr>
        <w:t xml:space="preserve"> </w:t>
      </w:r>
      <w:r w:rsidRPr="003249D9">
        <w:rPr>
          <w:rFonts w:asciiTheme="minorHAnsi" w:hAnsiTheme="minorHAnsi"/>
        </w:rPr>
        <w:t xml:space="preserve">a korábbi </w:t>
      </w:r>
      <w:r w:rsidR="00336156">
        <w:rPr>
          <w:rFonts w:asciiTheme="minorHAnsi" w:hAnsiTheme="minorHAnsi"/>
        </w:rPr>
        <w:t>szerződéseit</w:t>
      </w:r>
      <w:r w:rsidR="00336156" w:rsidRPr="003249D9">
        <w:rPr>
          <w:rFonts w:asciiTheme="minorHAnsi" w:hAnsiTheme="minorHAnsi"/>
        </w:rPr>
        <w:t xml:space="preserve"> </w:t>
      </w:r>
      <w:r w:rsidRPr="003249D9">
        <w:rPr>
          <w:rFonts w:asciiTheme="minorHAnsi" w:hAnsiTheme="minorHAnsi"/>
        </w:rPr>
        <w:t>(lásd a jelen fejezet 5.9 szakaszát (</w:t>
      </w:r>
      <w:r w:rsidR="007D088E" w:rsidRPr="003249D9">
        <w:rPr>
          <w:rFonts w:asciiTheme="minorHAnsi" w:hAnsiTheme="minorHAnsi"/>
          <w:i/>
        </w:rPr>
        <w:t>Az érvénytelenítés kockázatának kitett ügyletek</w:t>
      </w:r>
      <w:r w:rsidRPr="003249D9">
        <w:rPr>
          <w:rFonts w:asciiTheme="minorHAnsi" w:hAnsiTheme="minorHAnsi"/>
        </w:rPr>
        <w: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hitelezők vagy az érintett felek kifogást nyújthatnak be a bírósághoz a felszámoló intézkedése vagy mulasztása miatt, például a felszámolónak a követelések nyilvántartásba vételével kapcsolatos döntése ellen. </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bíróság </w:t>
      </w:r>
      <w:r w:rsidR="0053356C" w:rsidRPr="0053356C">
        <w:rPr>
          <w:rFonts w:asciiTheme="minorHAnsi" w:hAnsiTheme="minorHAnsi"/>
        </w:rPr>
        <w:t>hivatalból</w:t>
      </w:r>
      <w:r w:rsidRPr="003249D9">
        <w:rPr>
          <w:rFonts w:asciiTheme="minorHAnsi" w:hAnsiTheme="minorHAnsi"/>
        </w:rPr>
        <w:t xml:space="preserve"> vagy </w:t>
      </w:r>
      <w:r w:rsidR="0053356C">
        <w:rPr>
          <w:rFonts w:asciiTheme="minorHAnsi" w:hAnsiTheme="minorHAnsi"/>
        </w:rPr>
        <w:t>bármely</w:t>
      </w:r>
      <w:r w:rsidR="0053356C" w:rsidRPr="003249D9">
        <w:rPr>
          <w:rFonts w:asciiTheme="minorHAnsi" w:hAnsiTheme="minorHAnsi"/>
        </w:rPr>
        <w:t xml:space="preserve"> </w:t>
      </w:r>
      <w:r w:rsidRPr="003249D9">
        <w:rPr>
          <w:rFonts w:asciiTheme="minorHAnsi" w:hAnsiTheme="minorHAnsi"/>
        </w:rPr>
        <w:t xml:space="preserve">hitelező kérése alapján leválthatja a felszámoló </w:t>
      </w:r>
      <w:r w:rsidR="0053356C">
        <w:rPr>
          <w:rFonts w:asciiTheme="minorHAnsi" w:hAnsiTheme="minorHAnsi"/>
        </w:rPr>
        <w:t>céget (</w:t>
      </w:r>
      <w:r w:rsidRPr="003249D9">
        <w:rPr>
          <w:rFonts w:asciiTheme="minorHAnsi" w:hAnsiTheme="minorHAnsi"/>
        </w:rPr>
        <w:t>de nem a</w:t>
      </w:r>
      <w:r w:rsidR="0053356C">
        <w:rPr>
          <w:rFonts w:asciiTheme="minorHAnsi" w:hAnsiTheme="minorHAnsi"/>
        </w:rPr>
        <w:t>z eljáró magánszemély</w:t>
      </w:r>
      <w:r w:rsidRPr="003249D9">
        <w:rPr>
          <w:rFonts w:asciiTheme="minorHAnsi" w:hAnsiTheme="minorHAnsi"/>
        </w:rPr>
        <w:t xml:space="preserve"> </w:t>
      </w:r>
      <w:proofErr w:type="spellStart"/>
      <w:r w:rsidRPr="003249D9">
        <w:rPr>
          <w:rFonts w:asciiTheme="minorHAnsi" w:hAnsiTheme="minorHAnsi"/>
        </w:rPr>
        <w:t>felszámoló</w:t>
      </w:r>
      <w:r w:rsidR="0053356C">
        <w:rPr>
          <w:rFonts w:asciiTheme="minorHAnsi" w:hAnsiTheme="minorHAnsi"/>
        </w:rPr>
        <w:t>biztost</w:t>
      </w:r>
      <w:proofErr w:type="spellEnd"/>
      <w:r w:rsidR="0053356C">
        <w:rPr>
          <w:rFonts w:asciiTheme="minorHAnsi" w:hAnsiTheme="minorHAnsi"/>
        </w:rPr>
        <w:t>)</w:t>
      </w:r>
      <w:r w:rsidRPr="003249D9">
        <w:rPr>
          <w:rFonts w:asciiTheme="minorHAnsi" w:hAnsiTheme="minorHAnsi"/>
        </w:rPr>
        <w:t xml:space="preserve">, amennyiben bebizonyosodik, hogy a felszámoló ismételten vagy súlyosan megsértette a </w:t>
      </w:r>
      <w:r w:rsidR="0053356C">
        <w:rPr>
          <w:rFonts w:asciiTheme="minorHAnsi" w:hAnsiTheme="minorHAnsi"/>
        </w:rPr>
        <w:t>jogszabályokat</w:t>
      </w:r>
      <w:r w:rsidRPr="003249D9">
        <w:rPr>
          <w:rFonts w:asciiTheme="minorHAnsi" w:hAnsiTheme="minorHAnsi"/>
        </w:rPr>
        <w:t>. Máskülönben a hitelezők az eljárás során kizárólag egyszer, megadott időn belül jogosultak konkrét ok nélkül a felszámoló leváltását kérni. Az erre vonatkozó kérést az egyezség megkötésére jogosult hitelező</w:t>
      </w:r>
      <w:r w:rsidR="0053356C">
        <w:rPr>
          <w:rFonts w:asciiTheme="minorHAnsi" w:hAnsiTheme="minorHAnsi"/>
        </w:rPr>
        <w:t>i csoportok mindegyikében</w:t>
      </w:r>
      <w:r w:rsidRPr="003249D9">
        <w:rPr>
          <w:rFonts w:asciiTheme="minorHAnsi" w:hAnsiTheme="minorHAnsi"/>
        </w:rPr>
        <w:t xml:space="preserve"> </w:t>
      </w:r>
      <w:r w:rsidR="0053356C">
        <w:rPr>
          <w:rFonts w:asciiTheme="minorHAnsi" w:hAnsiTheme="minorHAnsi"/>
        </w:rPr>
        <w:t>több mint</w:t>
      </w:r>
      <w:r w:rsidR="0053356C" w:rsidRPr="003249D9">
        <w:rPr>
          <w:rFonts w:asciiTheme="minorHAnsi" w:hAnsiTheme="minorHAnsi"/>
        </w:rPr>
        <w:t xml:space="preserve"> </w:t>
      </w:r>
      <w:r w:rsidRPr="003249D9">
        <w:rPr>
          <w:rFonts w:asciiTheme="minorHAnsi" w:hAnsiTheme="minorHAnsi"/>
        </w:rPr>
        <w:t xml:space="preserve">a </w:t>
      </w:r>
      <w:r w:rsidR="0053356C">
        <w:rPr>
          <w:rFonts w:asciiTheme="minorHAnsi" w:hAnsiTheme="minorHAnsi"/>
        </w:rPr>
        <w:t xml:space="preserve">hitelezők </w:t>
      </w:r>
      <w:r w:rsidRPr="003249D9">
        <w:rPr>
          <w:rFonts w:asciiTheme="minorHAnsi" w:hAnsiTheme="minorHAnsi"/>
        </w:rPr>
        <w:t>fele nyújthatja be (lásd a jelen fejezet 5.4 szakaszát (</w:t>
      </w:r>
      <w:r w:rsidR="0053356C">
        <w:rPr>
          <w:rFonts w:asciiTheme="minorHAnsi" w:hAnsiTheme="minorHAnsi"/>
          <w:i/>
        </w:rPr>
        <w:t>Egyezségi tárgyalások</w:t>
      </w:r>
      <w:r w:rsidRPr="003249D9">
        <w:rPr>
          <w:rFonts w:asciiTheme="minorHAnsi" w:hAnsiTheme="minorHAnsi"/>
        </w:rPr>
        <w: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 felszámolónak a felszámolási eljárás során mindenkor az ilyen tisztséget betöltő személytől elvárható gondossággal és szorgalommal kell eljárnia. A felszámoló a kötelezettségei megszegéséből eredő károkért az Új Polgári Törvénykönyv általános szabályai szerint tehető felelőssé, rendes bírósági eljárásban (tehát nem a felszámolási bíróság előtt).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 felszámoló díja a felszámolási eljárás során értékesített eszközök eladásából származó bevétel és az adós befolyt követeléseiből származó bevétel együttes összegének 5%-a (vagy 3%-</w:t>
      </w:r>
      <w:proofErr w:type="gramStart"/>
      <w:r w:rsidRPr="003249D9">
        <w:rPr>
          <w:rFonts w:asciiTheme="minorHAnsi" w:hAnsiTheme="minorHAnsi"/>
        </w:rPr>
        <w:t>a</w:t>
      </w:r>
      <w:proofErr w:type="gramEnd"/>
      <w:r w:rsidRPr="003249D9">
        <w:rPr>
          <w:rFonts w:asciiTheme="minorHAnsi" w:hAnsiTheme="minorHAnsi"/>
        </w:rPr>
        <w:t xml:space="preserve">, amennyiben a felszámolási eljárást a csődeljárás megszüntetésével </w:t>
      </w:r>
      <w:proofErr w:type="spellStart"/>
      <w:r w:rsidRPr="003249D9">
        <w:rPr>
          <w:rFonts w:asciiTheme="minorHAnsi" w:hAnsiTheme="minorHAnsi"/>
        </w:rPr>
        <w:t>egyidőben</w:t>
      </w:r>
      <w:proofErr w:type="spellEnd"/>
      <w:r w:rsidRPr="003249D9">
        <w:rPr>
          <w:rFonts w:asciiTheme="minorHAnsi" w:hAnsiTheme="minorHAnsi"/>
        </w:rPr>
        <w:t xml:space="preserve"> rendelték el). A felszámoló díja azonban legalább 300.000 Ft (kb. 1.000 euró). Ha a felszámoló úgy határoz, hogy a felszámolás alatt folytatja az adós gazdasági tevékenységét, az ebből származó bevétel 2%-ra is jogosult.</w:t>
      </w:r>
    </w:p>
    <w:p w:rsidR="00BF6ACB" w:rsidRPr="003249D9" w:rsidRDefault="00AB7CFF" w:rsidP="009A73FD">
      <w:pPr>
        <w:pStyle w:val="TASTextheading2"/>
        <w:numPr>
          <w:ilvl w:val="1"/>
          <w:numId w:val="34"/>
        </w:numPr>
        <w:rPr>
          <w:rFonts w:asciiTheme="minorHAnsi" w:hAnsiTheme="minorHAnsi"/>
        </w:rPr>
      </w:pPr>
      <w:r w:rsidRPr="003249D9">
        <w:rPr>
          <w:rFonts w:asciiTheme="minorHAnsi" w:hAnsiTheme="minorHAnsi"/>
        </w:rPr>
        <w:t>Az eszközök eladása</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 hitelezők követeléseit a felszámolt eszközök eladásából befolyó bevételből kell kielégíteni. A felszámolónak az értékesítést a kezdő naptól számított 100 napon belül meg kell kezdenie, de nem kell feltétlenül befejeznie, kivéve, ha a hitelezői választmány vagy a hitelezői képviselő másképpen határoznak.</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Az eladást csak nyilvános pályázat vagy nyilvános árverés formájában lehet végrehajtani. A felszámoló más nyilvános értékesítési formákat is igénybe vehet abban az esetben, ha a hitelezői választmány azt jóváhagyja, vagy ha a nyilvános pályázat/árverés túlságosan költséges (tehát az eljárás költségei meghaladják az értékesítésből várt bevételt). Közvetlen</w:t>
      </w:r>
      <w:r w:rsidR="0053356C">
        <w:rPr>
          <w:rFonts w:asciiTheme="minorHAnsi" w:hAnsiTheme="minorHAnsi"/>
        </w:rPr>
        <w:t xml:space="preserve"> (zárt)</w:t>
      </w:r>
      <w:r w:rsidRPr="003249D9">
        <w:rPr>
          <w:rFonts w:asciiTheme="minorHAnsi" w:hAnsiTheme="minorHAnsi"/>
        </w:rPr>
        <w:t xml:space="preserve"> értékesítés tehát nem lehetséges a felszámolásban. Ez év </w:t>
      </w:r>
      <w:proofErr w:type="gramStart"/>
      <w:r w:rsidRPr="003249D9">
        <w:rPr>
          <w:rFonts w:asciiTheme="minorHAnsi" w:hAnsiTheme="minorHAnsi"/>
        </w:rPr>
        <w:t>végére lé</w:t>
      </w:r>
      <w:r w:rsidR="00405471">
        <w:rPr>
          <w:rFonts w:asciiTheme="minorHAnsi" w:hAnsiTheme="minorHAnsi"/>
        </w:rPr>
        <w:t>t</w:t>
      </w:r>
      <w:r w:rsidRPr="003249D9">
        <w:rPr>
          <w:rFonts w:asciiTheme="minorHAnsi" w:hAnsiTheme="minorHAnsi"/>
        </w:rPr>
        <w:t>re</w:t>
      </w:r>
      <w:proofErr w:type="gramEnd"/>
      <w:r w:rsidRPr="003249D9">
        <w:rPr>
          <w:rFonts w:asciiTheme="minorHAnsi" w:hAnsiTheme="minorHAnsi"/>
        </w:rPr>
        <w:t xml:space="preserve"> kell hozni és üzembe helyezni egy elektronikus platformot a felszámolási értékesítésekhez.</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lastRenderedPageBreak/>
        <w:t xml:space="preserve">A felszámolónak az adott piaci körülmények között elérhető legmagasabb áron kell értékesítenie az eszközöket. Máskülönben a </w:t>
      </w:r>
      <w:r w:rsidR="0053356C">
        <w:rPr>
          <w:rFonts w:asciiTheme="minorHAnsi" w:hAnsiTheme="minorHAnsi"/>
        </w:rPr>
        <w:t>C</w:t>
      </w:r>
      <w:r w:rsidRPr="003249D9">
        <w:rPr>
          <w:rFonts w:asciiTheme="minorHAnsi" w:hAnsiTheme="minorHAnsi"/>
        </w:rPr>
        <w:t>sődtörvény nem teszi lehetővé a működő üzemként történő eladást. Ez csak a stratégiailag kiemelt fontosságú vállalatokra vonatkozó különleges rendszer esetén kötelező (lásd a jelen fejezet 6. szakaszát (</w:t>
      </w:r>
      <w:r w:rsidRPr="003249D9">
        <w:rPr>
          <w:rFonts w:asciiTheme="minorHAnsi" w:hAnsiTheme="minorHAnsi"/>
          <w:i/>
        </w:rPr>
        <w:t>Stratégiailag kiemelt jelentőségű vállalatokra vonatkozó eltérő rendszer</w:t>
      </w:r>
      <w:r w:rsidRPr="003249D9">
        <w:rPr>
          <w:rFonts w:asciiTheme="minorHAnsi" w:hAnsiTheme="minorHAnsi"/>
        </w:rPr>
        <w: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hitelezői választmány, de nem az egyes hitelezők jogait a közelmúltban megerősítették az értékesítési eljárás felügyeletére vonatkozóan. A hitelezői választmány </w:t>
      </w:r>
      <w:proofErr w:type="gramStart"/>
      <w:r w:rsidRPr="003249D9">
        <w:rPr>
          <w:rFonts w:asciiTheme="minorHAnsi" w:hAnsiTheme="minorHAnsi"/>
        </w:rPr>
        <w:t>ezentúl</w:t>
      </w:r>
      <w:proofErr w:type="gramEnd"/>
      <w:r w:rsidRPr="003249D9">
        <w:rPr>
          <w:rFonts w:asciiTheme="minorHAnsi" w:hAnsiTheme="minorHAnsi"/>
        </w:rPr>
        <w:t xml:space="preserve"> többek között az alábbiakat teheti: </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kéri, hogy a felszámoló előzetesen tájékoztassa a választmányt az értékbecslési és eladási eljárásokról; </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véleményezi az eszközök becsértékét; valamint </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kéri, hogy a bíróság rendeljen ki másik értékbecslőt az elvégzett értékbecslés ellenőrzésére. </w:t>
      </w:r>
    </w:p>
    <w:p w:rsidR="00BF6ACB" w:rsidRPr="003249D9" w:rsidRDefault="00AB7CFF" w:rsidP="00BF6ACB">
      <w:pPr>
        <w:pStyle w:val="TASBullet2"/>
        <w:numPr>
          <w:ilvl w:val="0"/>
          <w:numId w:val="0"/>
        </w:numPr>
        <w:ind w:left="288"/>
        <w:rPr>
          <w:rFonts w:asciiTheme="minorHAnsi" w:hAnsiTheme="minorHAnsi"/>
        </w:rPr>
      </w:pPr>
      <w:r w:rsidRPr="003249D9">
        <w:rPr>
          <w:rFonts w:asciiTheme="minorHAnsi" w:hAnsiTheme="minorHAnsi"/>
        </w:rPr>
        <w:t>Ezek a jogosultságok azonban továbbra is meglehetősen gyengék sok más jogrendszerhez képest, amelyek előírják, hogy a hitelezői választmánynak vagy gyűlésnek előzetesen jóvá kell hagynia az eszközök felszámoló által történő eladását.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lehetséges ajánlattevők körét illetően is vannak bizonyos korlátozások. Nevezetesen a felszámoló, a </w:t>
      </w:r>
      <w:r w:rsidR="0053356C">
        <w:rPr>
          <w:rFonts w:asciiTheme="minorHAnsi" w:hAnsiTheme="minorHAnsi"/>
        </w:rPr>
        <w:t>felszámoló tulajdonosai</w:t>
      </w:r>
      <w:r w:rsidRPr="003249D9">
        <w:rPr>
          <w:rFonts w:asciiTheme="minorHAnsi" w:hAnsiTheme="minorHAnsi"/>
        </w:rPr>
        <w:t>, a felszámoló bizonyos tisztségviselői és alkalmazottai, valamint az adós egyedüli vagy többségi részvényese nem jogosult eszközök vásárlására a felszámolási értékesítés során.</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 biztosított hitelezők csak a</w:t>
      </w:r>
      <w:r w:rsidR="0053356C">
        <w:rPr>
          <w:rFonts w:asciiTheme="minorHAnsi" w:hAnsiTheme="minorHAnsi"/>
        </w:rPr>
        <w:t xml:space="preserve"> zálogtárgy</w:t>
      </w:r>
      <w:r w:rsidRPr="003249D9">
        <w:rPr>
          <w:rFonts w:asciiTheme="minorHAnsi" w:hAnsiTheme="minorHAnsi"/>
        </w:rPr>
        <w:t xml:space="preserve">a felszámoló által végrehajtott két sikertelen eladási kísérlete után vásárolhatják meg a </w:t>
      </w:r>
      <w:r w:rsidR="0053356C">
        <w:rPr>
          <w:rFonts w:asciiTheme="minorHAnsi" w:hAnsiTheme="minorHAnsi"/>
        </w:rPr>
        <w:t>zálogtárgyat</w:t>
      </w:r>
      <w:r w:rsidRPr="003249D9">
        <w:rPr>
          <w:rFonts w:asciiTheme="minorHAnsi" w:hAnsiTheme="minorHAnsi"/>
        </w:rPr>
        <w:t xml:space="preserve">, amennyiben megfizetik a felszámoló ezzel kapcsolatos költségeit. </w:t>
      </w:r>
      <w:r w:rsidR="0053356C">
        <w:rPr>
          <w:rFonts w:asciiTheme="minorHAnsi" w:hAnsiTheme="minorHAnsi"/>
        </w:rPr>
        <w:t>Egyébként</w:t>
      </w:r>
      <w:r w:rsidR="0053356C" w:rsidRPr="003249D9">
        <w:rPr>
          <w:rFonts w:asciiTheme="minorHAnsi" w:hAnsiTheme="minorHAnsi"/>
        </w:rPr>
        <w:t xml:space="preserve"> </w:t>
      </w:r>
      <w:r w:rsidRPr="003249D9">
        <w:rPr>
          <w:rFonts w:asciiTheme="minorHAnsi" w:hAnsiTheme="minorHAnsi"/>
        </w:rPr>
        <w:t>alkalmazhatnak beszámítást a követelésükre a vételárral szemben; ha azonban a vételár meghaladja a követelésük összegét, a többletet készpénzben kell kifizetniük.</w:t>
      </w:r>
    </w:p>
    <w:p w:rsidR="00BF6ACB" w:rsidRPr="003249D9" w:rsidRDefault="007D088E" w:rsidP="009A73FD">
      <w:pPr>
        <w:pStyle w:val="TASTextheading2"/>
        <w:numPr>
          <w:ilvl w:val="1"/>
          <w:numId w:val="34"/>
        </w:numPr>
        <w:rPr>
          <w:rFonts w:asciiTheme="minorHAnsi" w:hAnsiTheme="minorHAnsi"/>
        </w:rPr>
      </w:pPr>
      <w:r w:rsidRPr="007D088E">
        <w:rPr>
          <w:rFonts w:asciiTheme="minorHAnsi" w:hAnsiTheme="minorHAnsi"/>
        </w:rPr>
        <w:t>Az érvénytelenítés kockázatának kitett ügyletek</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 felszámolónak jogában áll azonnali hatállyal felmondani az adós által kötött megállapodásokat. A csődtörvény nem határozza meg a felmondás további kritériumait, így e jog gyakorlásának tartalma főleg a felszámolón múlik.</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w:t>
      </w:r>
      <w:r w:rsidR="0053356C">
        <w:rPr>
          <w:rFonts w:asciiTheme="minorHAnsi" w:hAnsiTheme="minorHAnsi"/>
        </w:rPr>
        <w:t>C</w:t>
      </w:r>
      <w:r w:rsidRPr="003249D9">
        <w:rPr>
          <w:rFonts w:asciiTheme="minorHAnsi" w:hAnsiTheme="minorHAnsi"/>
        </w:rPr>
        <w:t xml:space="preserve">sődtörvény előír bizonyos </w:t>
      </w:r>
      <w:r w:rsidR="0053356C">
        <w:rPr>
          <w:rFonts w:asciiTheme="minorHAnsi" w:hAnsiTheme="minorHAnsi"/>
        </w:rPr>
        <w:t>„</w:t>
      </w:r>
      <w:r w:rsidRPr="003249D9">
        <w:rPr>
          <w:rFonts w:asciiTheme="minorHAnsi" w:hAnsiTheme="minorHAnsi"/>
        </w:rPr>
        <w:t>megerősítési időszakokat</w:t>
      </w:r>
      <w:r w:rsidR="0053356C">
        <w:rPr>
          <w:rFonts w:asciiTheme="minorHAnsi" w:hAnsiTheme="minorHAnsi"/>
        </w:rPr>
        <w:t>”</w:t>
      </w:r>
      <w:r w:rsidRPr="003249D9">
        <w:rPr>
          <w:rFonts w:asciiTheme="minorHAnsi" w:hAnsiTheme="minorHAnsi"/>
        </w:rPr>
        <w:t xml:space="preserve"> is az adós által korábban kötött tranzakciókra, például:</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öt év a hitelezők szándékos </w:t>
      </w:r>
      <w:r w:rsidR="0053356C">
        <w:rPr>
          <w:rFonts w:asciiTheme="minorHAnsi" w:hAnsiTheme="minorHAnsi"/>
        </w:rPr>
        <w:t>kijátszása esetén</w:t>
      </w:r>
      <w:r w:rsidRPr="003249D9">
        <w:rPr>
          <w:rFonts w:asciiTheme="minorHAnsi" w:hAnsiTheme="minorHAnsi"/>
        </w:rPr>
        <w:t>;</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két év az ellenérték nélküli vagy a</w:t>
      </w:r>
      <w:r w:rsidR="0053356C">
        <w:rPr>
          <w:rFonts w:asciiTheme="minorHAnsi" w:hAnsiTheme="minorHAnsi"/>
        </w:rPr>
        <w:t xml:space="preserve"> feltűnően aránytalan értékkülönbözettel </w:t>
      </w:r>
      <w:proofErr w:type="spellStart"/>
      <w:r w:rsidR="0053356C">
        <w:rPr>
          <w:rFonts w:asciiTheme="minorHAnsi" w:hAnsiTheme="minorHAnsi"/>
        </w:rPr>
        <w:t>megkötött</w:t>
      </w:r>
      <w:r w:rsidRPr="003249D9">
        <w:rPr>
          <w:rFonts w:asciiTheme="minorHAnsi" w:hAnsiTheme="minorHAnsi"/>
        </w:rPr>
        <w:t>tranzakciókra</w:t>
      </w:r>
      <w:proofErr w:type="spellEnd"/>
      <w:r w:rsidRPr="003249D9">
        <w:rPr>
          <w:rFonts w:asciiTheme="minorHAnsi" w:hAnsiTheme="minorHAnsi"/>
        </w:rPr>
        <w:t>; valamint</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90 nap egy hitelező jogtalan előnyben részesítéséért.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Ha a fenti </w:t>
      </w:r>
      <w:r w:rsidR="00382EFF">
        <w:rPr>
          <w:rFonts w:asciiTheme="minorHAnsi" w:hAnsiTheme="minorHAnsi"/>
        </w:rPr>
        <w:t>„</w:t>
      </w:r>
      <w:r w:rsidRPr="003249D9">
        <w:rPr>
          <w:rFonts w:asciiTheme="minorHAnsi" w:hAnsiTheme="minorHAnsi"/>
        </w:rPr>
        <w:t>megerősítési időszakok</w:t>
      </w:r>
      <w:r w:rsidR="00382EFF">
        <w:rPr>
          <w:rFonts w:asciiTheme="minorHAnsi" w:hAnsiTheme="minorHAnsi"/>
        </w:rPr>
        <w:t>”</w:t>
      </w:r>
      <w:r w:rsidRPr="003249D9">
        <w:rPr>
          <w:rFonts w:asciiTheme="minorHAnsi" w:hAnsiTheme="minorHAnsi"/>
        </w:rPr>
        <w:t xml:space="preserve"> még nem teltek el, bármely hitelező vagy a felszámoló (az adós nevében) 90 nappal a tudomást szerzést követően, de legkésőbb a kezdő időponttól számított egy éven belül kérheti, hogy az illetékes bíróság érvénytelenítse az adott tranzakciót.</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Ezen kívül fennáll egy további 60 napos </w:t>
      </w:r>
      <w:r w:rsidR="00382EFF">
        <w:rPr>
          <w:rFonts w:asciiTheme="minorHAnsi" w:hAnsiTheme="minorHAnsi"/>
        </w:rPr>
        <w:t>„</w:t>
      </w:r>
      <w:r w:rsidRPr="003249D9">
        <w:rPr>
          <w:rFonts w:asciiTheme="minorHAnsi" w:hAnsiTheme="minorHAnsi"/>
        </w:rPr>
        <w:t>megerősítési időszak</w:t>
      </w:r>
      <w:r w:rsidR="00382EFF">
        <w:rPr>
          <w:rFonts w:asciiTheme="minorHAnsi" w:hAnsiTheme="minorHAnsi"/>
        </w:rPr>
        <w:t>”</w:t>
      </w:r>
      <w:r w:rsidRPr="003249D9">
        <w:rPr>
          <w:rFonts w:asciiTheme="minorHAnsi" w:hAnsiTheme="minorHAnsi"/>
        </w:rPr>
        <w:t xml:space="preserve"> az adós által a rendes üzleti tevékenységén kívül nyújtott olyan szolgáltatásokkal kapcsolatban, amelyek egy hitelező jogtalan előnyben részesítését eredményezték. Ha a </w:t>
      </w:r>
      <w:r w:rsidR="00382EFF">
        <w:rPr>
          <w:rFonts w:asciiTheme="minorHAnsi" w:hAnsiTheme="minorHAnsi"/>
        </w:rPr>
        <w:t>„</w:t>
      </w:r>
      <w:r w:rsidRPr="003249D9">
        <w:rPr>
          <w:rFonts w:asciiTheme="minorHAnsi" w:hAnsiTheme="minorHAnsi"/>
        </w:rPr>
        <w:t>megerősítési időszak</w:t>
      </w:r>
      <w:r w:rsidR="00382EFF">
        <w:rPr>
          <w:rFonts w:asciiTheme="minorHAnsi" w:hAnsiTheme="minorHAnsi"/>
        </w:rPr>
        <w:t>”</w:t>
      </w:r>
      <w:r w:rsidRPr="003249D9">
        <w:rPr>
          <w:rFonts w:asciiTheme="minorHAnsi" w:hAnsiTheme="minorHAnsi"/>
        </w:rPr>
        <w:t xml:space="preserve"> még nem telt le, a felszámoló 90 nappal a tudomást szerzést követően, de legkésőbb egy évvel a kezdő időpontot követően visszakövetel</w:t>
      </w:r>
      <w:r w:rsidR="00382EFF">
        <w:rPr>
          <w:rFonts w:asciiTheme="minorHAnsi" w:hAnsiTheme="minorHAnsi"/>
        </w:rPr>
        <w:t>het</w:t>
      </w:r>
      <w:r w:rsidRPr="003249D9">
        <w:rPr>
          <w:rFonts w:asciiTheme="minorHAnsi" w:hAnsiTheme="minorHAnsi"/>
        </w:rPr>
        <w:t>i az adós által teljesített fizetést vagy szolgáltatást.</w:t>
      </w:r>
    </w:p>
    <w:p w:rsidR="00BF6ACB" w:rsidRPr="003249D9" w:rsidRDefault="00AB7CFF" w:rsidP="009A73FD">
      <w:pPr>
        <w:pStyle w:val="TASTextheading2"/>
        <w:numPr>
          <w:ilvl w:val="1"/>
          <w:numId w:val="34"/>
        </w:numPr>
        <w:ind w:left="630"/>
        <w:rPr>
          <w:rFonts w:asciiTheme="minorHAnsi" w:hAnsiTheme="minorHAnsi"/>
        </w:rPr>
      </w:pPr>
      <w:r w:rsidRPr="003249D9">
        <w:rPr>
          <w:rFonts w:asciiTheme="minorHAnsi" w:hAnsiTheme="minorHAnsi"/>
        </w:rPr>
        <w:t>Biztosítékok, követelések prioritása</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biztosított hitelezők elsőbbségi pozíciója alapján, amennyiben </w:t>
      </w:r>
      <w:r w:rsidR="00382EFF">
        <w:rPr>
          <w:rFonts w:asciiTheme="minorHAnsi" w:hAnsiTheme="minorHAnsi"/>
        </w:rPr>
        <w:t xml:space="preserve">a felszámoló </w:t>
      </w:r>
      <w:r w:rsidRPr="003249D9">
        <w:rPr>
          <w:rFonts w:asciiTheme="minorHAnsi" w:hAnsiTheme="minorHAnsi"/>
        </w:rPr>
        <w:t>eladj</w:t>
      </w:r>
      <w:r w:rsidR="00382EFF">
        <w:rPr>
          <w:rFonts w:asciiTheme="minorHAnsi" w:hAnsiTheme="minorHAnsi"/>
        </w:rPr>
        <w:t>a</w:t>
      </w:r>
      <w:r w:rsidRPr="003249D9">
        <w:rPr>
          <w:rFonts w:asciiTheme="minorHAnsi" w:hAnsiTheme="minorHAnsi"/>
        </w:rPr>
        <w:t xml:space="preserve"> a biztosított vagyontárgyat, a felszámoló csak a megőrzés, a karbantartás és az értékesítés költségeit, valamint a felszámoló díjait (ez utóbbi a nettó vételár 5%-a) vonhatja le az eladásból származó bevételből. A biztosított hitelező az eladást követően röviddel jogosult a vételár fennmaradó részének kézhezvételére, amennyiben a biztosítékot a felszámolási eljárás megindítása előtt alapították.</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Az egyetlen kivétel a következő (1) </w:t>
      </w:r>
      <w:r w:rsidR="00596DFC">
        <w:rPr>
          <w:rFonts w:asciiTheme="minorHAnsi" w:hAnsiTheme="minorHAnsi"/>
        </w:rPr>
        <w:t>h</w:t>
      </w:r>
      <w:r w:rsidR="00596DFC" w:rsidRPr="00596DFC">
        <w:rPr>
          <w:rFonts w:asciiTheme="minorHAnsi" w:hAnsiTheme="minorHAnsi"/>
        </w:rPr>
        <w:t>a a hitelbiztosítéki nyilvántartásban a zálogtárgy körülírással oly módon van meghatározva, hogy a zálogjog a zálogkötelezett hitelbiztosítéki nyilvántartásba bejegyezhető összes vagyontárgyára kiterjed</w:t>
      </w:r>
      <w:r w:rsidRPr="003249D9">
        <w:rPr>
          <w:rFonts w:asciiTheme="minorHAnsi" w:hAnsiTheme="minorHAnsi"/>
        </w:rPr>
        <w:t>; valamint (2) a vagyont terhelő zálogjog a Régi Polgári Törvénykönyv értelmében. Mindkét esetben a</w:t>
      </w:r>
      <w:r w:rsidR="00596DFC">
        <w:rPr>
          <w:rFonts w:asciiTheme="minorHAnsi" w:hAnsiTheme="minorHAnsi"/>
        </w:rPr>
        <w:t xml:space="preserve"> befolyt és az értékesítés költségeivel csökkentett vételár </w:t>
      </w:r>
      <w:r w:rsidRPr="003249D9">
        <w:rPr>
          <w:rFonts w:asciiTheme="minorHAnsi" w:hAnsiTheme="minorHAnsi"/>
        </w:rPr>
        <w:t xml:space="preserve">50%-át </w:t>
      </w:r>
      <w:r w:rsidR="00596DFC">
        <w:rPr>
          <w:rFonts w:asciiTheme="minorHAnsi" w:hAnsiTheme="minorHAnsi"/>
        </w:rPr>
        <w:t>fordítja csak</w:t>
      </w:r>
      <w:r w:rsidRPr="003249D9">
        <w:rPr>
          <w:rFonts w:asciiTheme="minorHAnsi" w:hAnsiTheme="minorHAnsi"/>
        </w:rPr>
        <w:t xml:space="preserve"> a</w:t>
      </w:r>
      <w:r w:rsidR="00596DFC">
        <w:rPr>
          <w:rFonts w:asciiTheme="minorHAnsi" w:hAnsiTheme="minorHAnsi"/>
        </w:rPr>
        <w:t xml:space="preserve"> felszámoló a zálogjoggal biztosított követelés kielégítésére</w:t>
      </w:r>
      <w:proofErr w:type="gramStart"/>
      <w:r w:rsidR="00596DFC">
        <w:rPr>
          <w:rFonts w:asciiTheme="minorHAnsi" w:hAnsiTheme="minorHAnsi"/>
        </w:rPr>
        <w:t xml:space="preserve">, </w:t>
      </w:r>
      <w:r w:rsidRPr="003249D9">
        <w:rPr>
          <w:rFonts w:asciiTheme="minorHAnsi" w:hAnsiTheme="minorHAnsi"/>
        </w:rPr>
        <w:t xml:space="preserve"> a</w:t>
      </w:r>
      <w:proofErr w:type="gramEnd"/>
      <w:r w:rsidRPr="003249D9">
        <w:rPr>
          <w:rFonts w:asciiTheme="minorHAnsi" w:hAnsiTheme="minorHAnsi"/>
        </w:rPr>
        <w:t xml:space="preserve"> fennmaradó 50%-ot pedig nem kezelik elsőbbségi követelésként (lásd a jelen fejezet 5.3 pontját (</w:t>
      </w:r>
      <w:r w:rsidRPr="003249D9">
        <w:rPr>
          <w:rFonts w:asciiTheme="minorHAnsi" w:hAnsiTheme="minorHAnsi"/>
          <w:i/>
        </w:rPr>
        <w:t>A hitelezők nyilvántartásba vétele</w:t>
      </w:r>
      <w:r w:rsidRPr="003249D9">
        <w:rPr>
          <w:rFonts w:asciiTheme="minorHAnsi" w:hAnsiTheme="minorHAnsi"/>
        </w:rPr>
        <w:t>)). Ez azt jelenti, hogy a felszámolás minden költsége elsőbbséget élvez ezzel a követeléssel szemben.</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lastRenderedPageBreak/>
        <w:t xml:space="preserve">Az óvadékkal kapcsolatban speciális szabályokat kell alkalmazni. A felszámolás megindításától függetlenül az óvadék kedvezményezettje a kezdő időponttól számított három hónapon belül közvetlenül is kielégítést </w:t>
      </w:r>
      <w:r w:rsidR="00596DFC">
        <w:rPr>
          <w:rFonts w:asciiTheme="minorHAnsi" w:hAnsiTheme="minorHAnsi"/>
        </w:rPr>
        <w:t>nyerhet</w:t>
      </w:r>
      <w:r w:rsidR="00596DFC" w:rsidRPr="003249D9">
        <w:rPr>
          <w:rFonts w:asciiTheme="minorHAnsi" w:hAnsiTheme="minorHAnsi"/>
        </w:rPr>
        <w:t xml:space="preserve"> </w:t>
      </w:r>
      <w:r w:rsidRPr="003249D9">
        <w:rPr>
          <w:rFonts w:asciiTheme="minorHAnsi" w:hAnsiTheme="minorHAnsi"/>
        </w:rPr>
        <w:t xml:space="preserve">a biztosított eszközből. Az Új Polgári Törvénykönyvben a biztosítékokkal kapcsolatos rendelkezésekben végrehajtott változtatások eredményeképpen módosult a </w:t>
      </w:r>
      <w:r w:rsidR="00596DFC">
        <w:rPr>
          <w:rFonts w:asciiTheme="minorHAnsi" w:hAnsiTheme="minorHAnsi"/>
        </w:rPr>
        <w:t>C</w:t>
      </w:r>
      <w:r w:rsidRPr="003249D9">
        <w:rPr>
          <w:rFonts w:asciiTheme="minorHAnsi" w:hAnsiTheme="minorHAnsi"/>
        </w:rPr>
        <w:t>sődtörvény, ami ellentmondásos rendelkezésekhez vezetett az óvadékoknak a felszámolási eljárások alatt történő érvényesíthetőségével kapcsolatban.</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Az eszközöknek a felszámoló által történő értékesítését követően a következők szűnnek meg: vételi jogok; visszavásárlási jogok; jelzálogok</w:t>
      </w:r>
      <w:proofErr w:type="gramStart"/>
      <w:r w:rsidRPr="003249D9">
        <w:rPr>
          <w:rFonts w:asciiTheme="minorHAnsi" w:hAnsiTheme="minorHAnsi"/>
        </w:rPr>
        <w:t>;valamint</w:t>
      </w:r>
      <w:proofErr w:type="gramEnd"/>
      <w:r w:rsidRPr="003249D9">
        <w:rPr>
          <w:rFonts w:asciiTheme="minorHAnsi" w:hAnsiTheme="minorHAnsi"/>
        </w:rPr>
        <w:t xml:space="preserve"> zálogjogok. Ha a </w:t>
      </w:r>
      <w:r w:rsidR="00596DFC">
        <w:rPr>
          <w:rFonts w:asciiTheme="minorHAnsi" w:hAnsiTheme="minorHAnsi"/>
        </w:rPr>
        <w:t>jogosult</w:t>
      </w:r>
      <w:r w:rsidRPr="003249D9">
        <w:rPr>
          <w:rFonts w:asciiTheme="minorHAnsi" w:hAnsiTheme="minorHAnsi"/>
        </w:rPr>
        <w:t xml:space="preserve"> a kezdő időpontot követően gyakorolja az opciós jogát vagy a visszavásárlási jogát, és megvásárolja az adós érintett eszközét</w:t>
      </w:r>
      <w:proofErr w:type="gramStart"/>
      <w:r w:rsidRPr="003249D9">
        <w:rPr>
          <w:rFonts w:asciiTheme="minorHAnsi" w:hAnsiTheme="minorHAnsi"/>
        </w:rPr>
        <w:t>,  nem</w:t>
      </w:r>
      <w:proofErr w:type="gramEnd"/>
      <w:r w:rsidRPr="003249D9">
        <w:rPr>
          <w:rFonts w:asciiTheme="minorHAnsi" w:hAnsiTheme="minorHAnsi"/>
        </w:rPr>
        <w:t xml:space="preserve"> jogosult beszámítással élni a fizetési kötelezettségére az adóssal szemben.</w:t>
      </w:r>
      <w:r w:rsidRPr="003249D9">
        <w:rPr>
          <w:rStyle w:val="FootnoteReference"/>
          <w:rFonts w:asciiTheme="minorHAnsi" w:hAnsiTheme="minorHAnsi"/>
        </w:rPr>
        <w:footnoteReference w:id="7"/>
      </w:r>
      <w:r w:rsidRPr="003249D9">
        <w:rPr>
          <w:rFonts w:asciiTheme="minorHAnsi" w:hAnsiTheme="minorHAnsi"/>
        </w:rPr>
        <w:t xml:space="preserve"> </w:t>
      </w:r>
    </w:p>
    <w:p w:rsidR="00BF6ACB" w:rsidRPr="003249D9" w:rsidRDefault="00BF6ACB" w:rsidP="00BF6ACB">
      <w:pPr>
        <w:pStyle w:val="TASBullet1"/>
        <w:numPr>
          <w:ilvl w:val="0"/>
          <w:numId w:val="0"/>
        </w:numPr>
        <w:ind w:left="288"/>
        <w:rPr>
          <w:rFonts w:asciiTheme="minorHAnsi" w:hAnsiTheme="minorHAnsi"/>
        </w:rPr>
      </w:pPr>
    </w:p>
    <w:p w:rsidR="00BF6ACB" w:rsidRPr="003249D9" w:rsidRDefault="00AB7CFF" w:rsidP="009A73FD">
      <w:pPr>
        <w:pStyle w:val="TASTextheading1"/>
        <w:numPr>
          <w:ilvl w:val="0"/>
          <w:numId w:val="34"/>
        </w:numPr>
        <w:rPr>
          <w:rFonts w:asciiTheme="minorHAnsi" w:hAnsiTheme="minorHAnsi"/>
        </w:rPr>
      </w:pPr>
      <w:r w:rsidRPr="003249D9">
        <w:rPr>
          <w:rFonts w:asciiTheme="minorHAnsi" w:hAnsiTheme="minorHAnsi"/>
        </w:rPr>
        <w:t>A STRATÉGIAILAG KIEMELT JELENTŐSÉGŰ GAZDÁLKODÓ SZERVEZETEKRE VONATKOZÓ ELTÉRŐ RENDELKEZÉSEK</w:t>
      </w:r>
    </w:p>
    <w:p w:rsidR="00BF6ACB" w:rsidRPr="003249D9" w:rsidRDefault="00AB7CFF" w:rsidP="009A73FD">
      <w:pPr>
        <w:pStyle w:val="TASTextheading2"/>
        <w:numPr>
          <w:ilvl w:val="1"/>
          <w:numId w:val="34"/>
        </w:numPr>
        <w:rPr>
          <w:rFonts w:asciiTheme="minorHAnsi" w:hAnsiTheme="minorHAnsi"/>
        </w:rPr>
      </w:pPr>
      <w:r w:rsidRPr="003249D9">
        <w:rPr>
          <w:rFonts w:asciiTheme="minorHAnsi" w:hAnsiTheme="minorHAnsi"/>
        </w:rPr>
        <w:t>A minősítésre vonatkozó döntés</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 magyar Kormány a gazdálkodó szervezetek széles körét minősítheti stratégiailag kiemelt jelentőségű vállalattá (a “</w:t>
      </w:r>
      <w:r w:rsidRPr="003249D9">
        <w:rPr>
          <w:rFonts w:asciiTheme="minorHAnsi" w:hAnsiTheme="minorHAnsi"/>
          <w:b/>
        </w:rPr>
        <w:t>Minősített Vállalatok</w:t>
      </w:r>
      <w:r w:rsidRPr="003249D9">
        <w:rPr>
          <w:rFonts w:asciiTheme="minorHAnsi" w:hAnsiTheme="minorHAnsi"/>
        </w:rPr>
        <w:t xml:space="preserve">”), amennyiben úgy látja, hogy az érintett vállalatok csődeljárásához vagy felszámolási eljárásához nemzeti vagy közérdek fűződik. A </w:t>
      </w:r>
      <w:r w:rsidR="00596DFC">
        <w:rPr>
          <w:rFonts w:asciiTheme="minorHAnsi" w:hAnsiTheme="minorHAnsi"/>
        </w:rPr>
        <w:t>C</w:t>
      </w:r>
      <w:r w:rsidRPr="003249D9">
        <w:rPr>
          <w:rFonts w:asciiTheme="minorHAnsi" w:hAnsiTheme="minorHAnsi"/>
        </w:rPr>
        <w:t>sődtörvény meghatároz bizonyos kritériumokat a minősítéshez, de az lényegében a Kormány kizárólagos belátásán múlik.</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kormány a csődeljárás megindításától számított 30 napon belül, illetve a felszámolási eljárás megindításától számított 365 napon belül határozhat a nehézséggel küzdő vállalat </w:t>
      </w:r>
      <w:r w:rsidR="00596DFC">
        <w:rPr>
          <w:rFonts w:asciiTheme="minorHAnsi" w:hAnsiTheme="minorHAnsi"/>
        </w:rPr>
        <w:t xml:space="preserve">fenti </w:t>
      </w:r>
      <w:r w:rsidRPr="003249D9">
        <w:rPr>
          <w:rFonts w:asciiTheme="minorHAnsi" w:hAnsiTheme="minorHAnsi"/>
        </w:rPr>
        <w:t xml:space="preserve">minősítéséről. </w:t>
      </w:r>
    </w:p>
    <w:p w:rsidR="00BF6ACB" w:rsidRPr="003249D9" w:rsidRDefault="00AB7CFF" w:rsidP="009A73FD">
      <w:pPr>
        <w:pStyle w:val="TASTextheading2"/>
        <w:numPr>
          <w:ilvl w:val="1"/>
          <w:numId w:val="34"/>
        </w:numPr>
        <w:rPr>
          <w:rFonts w:asciiTheme="minorHAnsi" w:hAnsiTheme="minorHAnsi"/>
        </w:rPr>
      </w:pPr>
      <w:r w:rsidRPr="003249D9">
        <w:rPr>
          <w:rFonts w:asciiTheme="minorHAnsi" w:hAnsiTheme="minorHAnsi"/>
        </w:rPr>
        <w:t xml:space="preserve">Az eltérő </w:t>
      </w:r>
      <w:r w:rsidR="00596DFC">
        <w:rPr>
          <w:rFonts w:asciiTheme="minorHAnsi" w:hAnsiTheme="minorHAnsi"/>
        </w:rPr>
        <w:t>minősítés következményei</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A Minősített Vállalatok kezelésének fő vonatkozásai az alábbiak:</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egy állami fizetésképtelenségi szakértő kizárólagos jogot kap a csődeljárás vagy a felszámolási eljárás vagyonfelügyelőként, illetve felszámolóként történő kezelésére; </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 xml:space="preserve">számos eljárási határidő rövidebb, mint az eljárások szokásos szabályaiban; </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a hitelezők kevesebb joggal rendelkeznek, például az eladást illetően a felszámolási eljárásban; valamint</w:t>
      </w:r>
    </w:p>
    <w:p w:rsidR="00BF6ACB" w:rsidRPr="003249D9" w:rsidRDefault="00AB7CFF" w:rsidP="009A73FD">
      <w:pPr>
        <w:pStyle w:val="TASBullet2"/>
        <w:numPr>
          <w:ilvl w:val="1"/>
          <w:numId w:val="39"/>
        </w:numPr>
        <w:rPr>
          <w:rFonts w:asciiTheme="minorHAnsi" w:hAnsiTheme="minorHAnsi"/>
        </w:rPr>
      </w:pPr>
      <w:r w:rsidRPr="003249D9">
        <w:rPr>
          <w:rFonts w:asciiTheme="minorHAnsi" w:hAnsiTheme="minorHAnsi"/>
        </w:rPr>
        <w:t>a felszámolónak lehetőleg működő üzemként kell eladnia az eszközöket, és az eladás lehet zártkörű is.</w:t>
      </w:r>
    </w:p>
    <w:p w:rsidR="00BF6ACB" w:rsidRPr="003249D9" w:rsidRDefault="00AB7CFF" w:rsidP="009A73FD">
      <w:pPr>
        <w:pStyle w:val="TASTextheading2"/>
        <w:numPr>
          <w:ilvl w:val="1"/>
          <w:numId w:val="34"/>
        </w:numPr>
        <w:rPr>
          <w:rFonts w:asciiTheme="minorHAnsi" w:hAnsiTheme="minorHAnsi"/>
        </w:rPr>
      </w:pPr>
      <w:r w:rsidRPr="003249D9">
        <w:rPr>
          <w:rFonts w:asciiTheme="minorHAnsi" w:hAnsiTheme="minorHAnsi"/>
        </w:rPr>
        <w:t>Példák</w:t>
      </w:r>
    </w:p>
    <w:p w:rsidR="00BF6ACB" w:rsidRPr="003249D9" w:rsidRDefault="00AB7CFF" w:rsidP="009A73FD">
      <w:pPr>
        <w:pStyle w:val="TASBullet1"/>
        <w:numPr>
          <w:ilvl w:val="0"/>
          <w:numId w:val="39"/>
        </w:numPr>
        <w:rPr>
          <w:rFonts w:asciiTheme="minorHAnsi" w:hAnsiTheme="minorHAnsi"/>
        </w:rPr>
      </w:pPr>
      <w:r w:rsidRPr="003249D9">
        <w:rPr>
          <w:rFonts w:asciiTheme="minorHAnsi" w:hAnsiTheme="minorHAnsi"/>
        </w:rPr>
        <w:t xml:space="preserve">A gyakorlatban a kormány e jogának 2011-ben történő beiktatása óta számos vállalatot minősítettek Minősített Vállalattá. A legjelentősebbek a Minősített Vállalattá történő nyilvánításuk után hamarosan felszámolási eljárás alá estek, vagy pedig már folyt a felszámolási eljárás, amikor Minősített Vállalattá minősítették őket. </w:t>
      </w:r>
    </w:p>
    <w:p w:rsidR="00BF6ACB" w:rsidRPr="003249D9" w:rsidRDefault="00AB7CFF" w:rsidP="009A73FD">
      <w:pPr>
        <w:pStyle w:val="TASBullet1"/>
        <w:numPr>
          <w:ilvl w:val="0"/>
          <w:numId w:val="39"/>
        </w:numPr>
        <w:rPr>
          <w:rFonts w:asciiTheme="minorHAnsi" w:hAnsiTheme="minorHAnsi"/>
        </w:rPr>
        <w:sectPr w:rsidR="00BF6ACB" w:rsidRPr="003249D9" w:rsidSect="00BF6ACB">
          <w:headerReference w:type="default" r:id="rId74"/>
          <w:footerReference w:type="default" r:id="rId75"/>
          <w:pgSz w:w="11907" w:h="16839" w:code="9"/>
          <w:pgMar w:top="2304" w:right="792" w:bottom="1022" w:left="792" w:header="605" w:footer="706" w:gutter="0"/>
          <w:cols w:space="720"/>
          <w:docGrid w:linePitch="360"/>
        </w:sectPr>
      </w:pPr>
      <w:r w:rsidRPr="003249D9">
        <w:rPr>
          <w:rFonts w:asciiTheme="minorHAnsi" w:hAnsiTheme="minorHAnsi"/>
        </w:rPr>
        <w:t>A minősített vállalatok listája többek között tartalmazza a volt magyar nemzeti légitársaságot, a húsipar bizonyos nagyobb vállalatait, a legnagyobb alumíniumgyártó vállalatot, egy felszámoló céget, stratégiailag fontos projektekhez kapcsolódó projekt vállalatokat és egy nagy papírgyártó vállalatot.</w:t>
      </w:r>
    </w:p>
    <w:p w:rsidR="00BF6ACB" w:rsidRPr="003249D9" w:rsidRDefault="00AB7CFF" w:rsidP="00BF6ACB">
      <w:pPr>
        <w:pStyle w:val="TASSectiontitle"/>
        <w:framePr w:wrap="around"/>
        <w:rPr>
          <w:rFonts w:asciiTheme="minorHAnsi" w:hAnsiTheme="minorHAnsi"/>
        </w:rPr>
      </w:pPr>
      <w:bookmarkStart w:id="25" w:name="_Toc401154925"/>
      <w:bookmarkStart w:id="26" w:name="_Toc403750028"/>
      <w:r w:rsidRPr="003249D9">
        <w:rPr>
          <w:rFonts w:asciiTheme="minorHAnsi" w:hAnsiTheme="minorHAnsi"/>
        </w:rPr>
        <w:lastRenderedPageBreak/>
        <w:t>Gyakorlati jogi problémák és javaslatok</w:t>
      </w:r>
      <w:bookmarkEnd w:id="25"/>
      <w:bookmarkEnd w:id="26"/>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sdt>
      <w:sdtPr>
        <w:rPr>
          <w:rFonts w:asciiTheme="minorHAnsi" w:hAnsiTheme="minorHAnsi"/>
        </w:rPr>
        <w:alias w:val="TAS Subsection TOC"/>
        <w:tag w:val="TASSubsectionTOC"/>
        <w:id w:val="-1479910543"/>
      </w:sdtPr>
      <w:sdtContent>
        <w:p w:rsidR="00BF6ACB" w:rsidRPr="003249D9" w:rsidRDefault="00AB7CFF" w:rsidP="009A73FD">
          <w:pPr>
            <w:pStyle w:val="TASTOC3"/>
            <w:numPr>
              <w:ilvl w:val="0"/>
              <w:numId w:val="43"/>
            </w:numPr>
            <w:rPr>
              <w:rFonts w:asciiTheme="minorHAnsi" w:hAnsiTheme="minorHAnsi"/>
            </w:rPr>
          </w:pPr>
          <w:r w:rsidRPr="003249D9">
            <w:rPr>
              <w:rFonts w:asciiTheme="minorHAnsi" w:hAnsiTheme="minorHAnsi"/>
            </w:rPr>
            <w:t>Fő problémák és potenciális megoldási lehetőségek</w:t>
          </w:r>
        </w:p>
      </w:sdtContent>
    </w:sdt>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sectPr w:rsidR="00BF6ACB" w:rsidRPr="003249D9" w:rsidSect="00BF6ACB">
          <w:headerReference w:type="default" r:id="rId76"/>
          <w:footerReference w:type="default" r:id="rId77"/>
          <w:headerReference w:type="first" r:id="rId78"/>
          <w:footerReference w:type="first" r:id="rId79"/>
          <w:pgSz w:w="11906" w:h="16838" w:code="9"/>
          <w:pgMar w:top="2304" w:right="792" w:bottom="792" w:left="792" w:header="605" w:footer="706" w:gutter="0"/>
          <w:cols w:space="708"/>
          <w:docGrid w:linePitch="360"/>
        </w:sectPr>
      </w:pPr>
    </w:p>
    <w:p w:rsidR="00BF6ACB" w:rsidRPr="003249D9" w:rsidRDefault="00AB7CFF">
      <w:pPr>
        <w:pStyle w:val="TASSubsection"/>
        <w:framePr w:wrap="around"/>
        <w:rPr>
          <w:rFonts w:asciiTheme="minorHAnsi" w:hAnsiTheme="minorHAnsi"/>
        </w:rPr>
      </w:pPr>
      <w:bookmarkStart w:id="27" w:name="_Toc401154926"/>
      <w:bookmarkStart w:id="28" w:name="_Toc403750029"/>
      <w:r w:rsidRPr="003249D9">
        <w:rPr>
          <w:rFonts w:asciiTheme="minorHAnsi" w:hAnsiTheme="minorHAnsi"/>
        </w:rPr>
        <w:lastRenderedPageBreak/>
        <w:t>Fő problémák és potenciális megoldási lehetőségek</w:t>
      </w:r>
      <w:bookmarkEnd w:id="27"/>
      <w:bookmarkEnd w:id="28"/>
    </w:p>
    <w:p w:rsidR="00BF6ACB" w:rsidRPr="003249D9" w:rsidRDefault="00AB7CFF" w:rsidP="00BF6ACB">
      <w:pPr>
        <w:pStyle w:val="TASStraplinefirst"/>
        <w:framePr w:wrap="notBeside"/>
        <w:rPr>
          <w:rFonts w:asciiTheme="minorHAnsi" w:hAnsiTheme="minorHAnsi"/>
        </w:rPr>
      </w:pPr>
      <w:r w:rsidRPr="003249D9">
        <w:rPr>
          <w:rFonts w:asciiTheme="minorHAnsi" w:hAnsiTheme="minorHAnsi"/>
        </w:rPr>
        <w:t>A változást akadályozó fő problémák és ezek lehetséges megoldásai</w:t>
      </w:r>
    </w:p>
    <w:p w:rsidR="00BF6ACB" w:rsidRPr="003249D9" w:rsidRDefault="00AB7CFF" w:rsidP="00BF6ACB">
      <w:pPr>
        <w:pStyle w:val="TASTextheading1"/>
        <w:rPr>
          <w:rFonts w:asciiTheme="minorHAnsi" w:hAnsiTheme="minorHAnsi"/>
        </w:rPr>
      </w:pPr>
      <w:r w:rsidRPr="003249D9">
        <w:rPr>
          <w:rFonts w:asciiTheme="minorHAnsi" w:hAnsiTheme="minorHAnsi"/>
        </w:rPr>
        <w:t>1. BEVEZETŐ MEGJEGYZÉSEK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Ebben a részben felsoroljuk azokat a problémákat, amelyekre a különböző érdekelt felekkel folytatott beszélgetések során felhívták figyelmünket vagy más módon szereztünk azokról tudomást, illetve néhány lehetséges, jogi jellegű változ</w:t>
      </w:r>
      <w:r w:rsidR="007430EB" w:rsidRPr="003249D9">
        <w:rPr>
          <w:rFonts w:asciiTheme="minorHAnsi" w:hAnsiTheme="minorHAnsi"/>
        </w:rPr>
        <w:t>tatást, amelyeket megfontolásra</w:t>
      </w:r>
      <w:r w:rsidRPr="003249D9">
        <w:rPr>
          <w:rFonts w:asciiTheme="minorHAnsi" w:hAnsiTheme="minorHAnsi"/>
        </w:rPr>
        <w:t xml:space="preserve"> a figyelmükbe ajánlunk.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Különösen a következő témákra összpontosítunk:</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w:t>
      </w:r>
      <w:proofErr w:type="spellStart"/>
      <w:r w:rsidRPr="003249D9">
        <w:rPr>
          <w:rFonts w:asciiTheme="minorHAnsi" w:hAnsiTheme="minorHAnsi"/>
        </w:rPr>
        <w:t>nemteljesítő</w:t>
      </w:r>
      <w:proofErr w:type="spellEnd"/>
      <w:r w:rsidRPr="003249D9">
        <w:rPr>
          <w:rFonts w:asciiTheme="minorHAnsi" w:hAnsiTheme="minorHAnsi"/>
        </w:rPr>
        <w:t xml:space="preserve"> hitelek értékesítése a bankok által;</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bírósági végrehajtás;</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csőd</w:t>
      </w:r>
      <w:r w:rsidR="001677EB">
        <w:rPr>
          <w:rFonts w:asciiTheme="minorHAnsi" w:hAnsiTheme="minorHAnsi"/>
        </w:rPr>
        <w:t>eljárás</w:t>
      </w:r>
      <w:r w:rsidRPr="003249D9">
        <w:rPr>
          <w:rFonts w:asciiTheme="minorHAnsi" w:hAnsiTheme="minorHAnsi"/>
        </w:rPr>
        <w:t>; és</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felszámolás</w:t>
      </w:r>
      <w:r w:rsidR="001677EB">
        <w:rPr>
          <w:rFonts w:asciiTheme="minorHAnsi" w:hAnsiTheme="minorHAnsi"/>
        </w:rPr>
        <w:t>i eljárás</w:t>
      </w:r>
      <w:r w:rsidRPr="003249D9">
        <w:rPr>
          <w:rFonts w:asciiTheme="minorHAnsi" w:hAnsiTheme="minorHAnsi"/>
        </w:rPr>
        <w:t>.</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Tekintettel a sokféle jellemzőre és a széles körben elterjedt kereskedelmi gyakorlatra, e Jelentésben nem foglalkozunk a </w:t>
      </w:r>
      <w:r w:rsidR="001677EB">
        <w:rPr>
          <w:rFonts w:asciiTheme="minorHAnsi" w:hAnsiTheme="minorHAnsi"/>
        </w:rPr>
        <w:t xml:space="preserve">bankok által alkalmazott </w:t>
      </w:r>
      <w:proofErr w:type="spellStart"/>
      <w:r w:rsidR="001677EB">
        <w:rPr>
          <w:rFonts w:asciiTheme="minorHAnsi" w:hAnsiTheme="minorHAnsi"/>
        </w:rPr>
        <w:t>restrukturálási</w:t>
      </w:r>
      <w:proofErr w:type="spellEnd"/>
      <w:r w:rsidRPr="003249D9">
        <w:rPr>
          <w:rFonts w:asciiTheme="minorHAnsi" w:hAnsiTheme="minorHAnsi"/>
        </w:rPr>
        <w:t xml:space="preserve"> módszerekkel (mivel azt a hitelezők gyakran alkalmazzák és e Jelentés egyéb részeiben megemlítésre kerülnek), ideértve az adósokkal, részvényesekkel és más érintett felekkel való megegyezésen alapuló megoldásokat és a </w:t>
      </w:r>
      <w:r w:rsidR="001677EB">
        <w:rPr>
          <w:rFonts w:asciiTheme="minorHAnsi" w:hAnsiTheme="minorHAnsi"/>
        </w:rPr>
        <w:t xml:space="preserve">bírósági eljáráson kívüli, </w:t>
      </w:r>
      <w:r w:rsidRPr="003249D9">
        <w:rPr>
          <w:rFonts w:asciiTheme="minorHAnsi" w:hAnsiTheme="minorHAnsi"/>
        </w:rPr>
        <w:t>végrehajtó</w:t>
      </w:r>
      <w:r w:rsidR="001677EB">
        <w:rPr>
          <w:rFonts w:asciiTheme="minorHAnsi" w:hAnsiTheme="minorHAnsi"/>
        </w:rPr>
        <w:t xml:space="preserve"> bevonása nélkül lefolytatott</w:t>
      </w:r>
      <w:r w:rsidRPr="003249D9">
        <w:rPr>
          <w:rFonts w:asciiTheme="minorHAnsi" w:hAnsiTheme="minorHAnsi"/>
        </w:rPr>
        <w:t xml:space="preserve"> eljárásokat.</w:t>
      </w:r>
    </w:p>
    <w:p w:rsidR="00BF6ACB" w:rsidRPr="003249D9" w:rsidRDefault="00BF6ACB" w:rsidP="00BF6ACB">
      <w:pPr>
        <w:pStyle w:val="TASTextheading1"/>
        <w:rPr>
          <w:rFonts w:asciiTheme="minorHAnsi" w:hAnsiTheme="minorHAnsi"/>
        </w:rPr>
      </w:pPr>
    </w:p>
    <w:p w:rsidR="00BF6ACB" w:rsidRPr="003249D9" w:rsidRDefault="00AB7CFF" w:rsidP="00BF6ACB">
      <w:pPr>
        <w:pStyle w:val="TASTextheading1"/>
        <w:rPr>
          <w:rFonts w:asciiTheme="minorHAnsi" w:hAnsiTheme="minorHAnsi"/>
        </w:rPr>
      </w:pPr>
      <w:r w:rsidRPr="003249D9">
        <w:rPr>
          <w:rFonts w:asciiTheme="minorHAnsi" w:hAnsiTheme="minorHAnsi"/>
        </w:rPr>
        <w:t>2. A NEMTELJESÍTŐ HITELEK (NPL) ÁTRUHÁZÁSA</w:t>
      </w:r>
    </w:p>
    <w:p w:rsidR="00BF6ACB" w:rsidRPr="003249D9" w:rsidRDefault="00AB7CFF" w:rsidP="009A73FD">
      <w:pPr>
        <w:pStyle w:val="TASTextheading3"/>
        <w:numPr>
          <w:ilvl w:val="2"/>
          <w:numId w:val="44"/>
        </w:numPr>
        <w:rPr>
          <w:rFonts w:asciiTheme="minorHAnsi" w:hAnsiTheme="minorHAnsi"/>
        </w:rPr>
      </w:pPr>
      <w:r w:rsidRPr="003249D9">
        <w:rPr>
          <w:rFonts w:asciiTheme="minorHAnsi" w:hAnsiTheme="minorHAnsi"/>
        </w:rPr>
        <w:t xml:space="preserve">Engedélyezés </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problémák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nagyszámú sikertelen átütemezésért elsősorban a likvid másodlagos piac hiánya okolható. Figyelembe véve a magyar piac méretét és a magyar vállalati NPL portfóliók átlagos ügyletnagyságát, a potenciális belső és külső (külföldi) ajánlattevők érdeklődésének felkeltését elő kell segíteni.</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Az egyik intézkedés, ami növelheti a</w:t>
      </w:r>
      <w:r w:rsidR="000C70FA">
        <w:rPr>
          <w:rFonts w:asciiTheme="minorHAnsi" w:hAnsiTheme="minorHAnsi"/>
        </w:rPr>
        <w:t xml:space="preserve">z </w:t>
      </w:r>
      <w:proofErr w:type="spellStart"/>
      <w:r w:rsidR="000C70FA">
        <w:rPr>
          <w:rFonts w:asciiTheme="minorHAnsi" w:hAnsiTheme="minorHAnsi"/>
        </w:rPr>
        <w:t>NPL-ek</w:t>
      </w:r>
      <w:proofErr w:type="spellEnd"/>
      <w:r w:rsidR="000C70FA">
        <w:rPr>
          <w:rFonts w:asciiTheme="minorHAnsi" w:hAnsiTheme="minorHAnsi"/>
        </w:rPr>
        <w:t xml:space="preserve"> megvásárlására vonatkozó</w:t>
      </w:r>
      <w:r w:rsidRPr="003249D9">
        <w:rPr>
          <w:rFonts w:asciiTheme="minorHAnsi" w:hAnsiTheme="minorHAnsi"/>
        </w:rPr>
        <w:t xml:space="preserve"> másodlagos piaci keresletet, a szabályozói terhek könnyítése.</w:t>
      </w:r>
      <w:r w:rsidR="000C70FA">
        <w:rPr>
          <w:rFonts w:asciiTheme="minorHAnsi" w:hAnsiTheme="minorHAnsi"/>
        </w:rPr>
        <w:t xml:space="preserve"> Ugyanakkor az MNB részéről alapos megfontolást igényel az </w:t>
      </w:r>
      <w:proofErr w:type="spellStart"/>
      <w:r w:rsidR="000C70FA">
        <w:rPr>
          <w:rFonts w:asciiTheme="minorHAnsi" w:hAnsiTheme="minorHAnsi"/>
        </w:rPr>
        <w:t>NPL-ek</w:t>
      </w:r>
      <w:proofErr w:type="spellEnd"/>
      <w:r w:rsidR="000C70FA">
        <w:rPr>
          <w:rFonts w:asciiTheme="minorHAnsi" w:hAnsiTheme="minorHAnsi"/>
        </w:rPr>
        <w:t xml:space="preserve"> megvásárlóira vonatkozó szabályozási követelmények bármilyen enyhítése.</w:t>
      </w:r>
    </w:p>
    <w:p w:rsidR="00BF6ACB" w:rsidRPr="003249D9" w:rsidRDefault="00AB7CFF" w:rsidP="00BF6ACB">
      <w:pPr>
        <w:pStyle w:val="TASBullet1"/>
        <w:rPr>
          <w:rFonts w:asciiTheme="minorHAnsi" w:hAnsiTheme="minorHAnsi"/>
        </w:rPr>
      </w:pPr>
      <w:r w:rsidRPr="003249D9">
        <w:rPr>
          <w:rFonts w:asciiTheme="minorHAnsi" w:hAnsiTheme="minorHAnsi"/>
        </w:rPr>
        <w:t>A múltban, az üzletszerű követelésvásárlás meghatározására vonatkozóan a Pénzügyi Szervezetek Állami Felügyelete (amely jogutódja az MNB) néhány (nyilvánosan elérhető) vélemény alapján,</w:t>
      </w:r>
      <w:r w:rsidR="00405471">
        <w:rPr>
          <w:rFonts w:asciiTheme="minorHAnsi" w:hAnsiTheme="minorHAnsi"/>
        </w:rPr>
        <w:t xml:space="preserve"> </w:t>
      </w:r>
      <w:r w:rsidRPr="003249D9">
        <w:rPr>
          <w:rFonts w:asciiTheme="minorHAnsi" w:hAnsiTheme="minorHAnsi"/>
        </w:rPr>
        <w:t>a Pénzügyi Szervezetek Állami Felügyelete (amely jogutódja az MNB) azt a gyakorlatot folytatta, hogy még azon jogalany számára is előírta a megfelelő magyarországi engedélyek vagy más felhatalmazások meglétét, aki csupán egyetlen követelést vásárolt volna meg egy banktól. Ez az előírás attól függetlenül volt érvényes, hogy hány követelés vásárlására került sor, az hány adóst érintett, hogy teljes szerződéses pozíciót vagy csupán egyetlen követelést vásároltak, és hogy a követelés új tulajdonosa nyújtott-e valamilyen kiegészítő szolgáltatást az adósnak.</w:t>
      </w:r>
    </w:p>
    <w:p w:rsidR="00BF6ACB" w:rsidRPr="003249D9" w:rsidRDefault="00AB7CFF" w:rsidP="00BF6ACB">
      <w:pPr>
        <w:pStyle w:val="TASTextheading3"/>
        <w:rPr>
          <w:rFonts w:asciiTheme="minorHAnsi" w:hAnsiTheme="minorHAnsi"/>
        </w:rPr>
      </w:pPr>
      <w:r w:rsidRPr="003249D9">
        <w:rPr>
          <w:rFonts w:asciiTheme="minorHAnsi" w:hAnsiTheme="minorHAnsi"/>
        </w:rPr>
        <w:t>Potenciális megoldási lehetőségek</w:t>
      </w:r>
    </w:p>
    <w:p w:rsidR="00BF6ACB" w:rsidRPr="003249D9" w:rsidRDefault="00080B3A" w:rsidP="009A73FD">
      <w:pPr>
        <w:pStyle w:val="TASBullet1"/>
        <w:numPr>
          <w:ilvl w:val="0"/>
          <w:numId w:val="46"/>
        </w:numPr>
        <w:rPr>
          <w:rFonts w:asciiTheme="minorHAnsi" w:hAnsiTheme="minorHAnsi"/>
        </w:rPr>
      </w:pPr>
      <w:r>
        <w:rPr>
          <w:rFonts w:asciiTheme="minorHAnsi" w:hAnsiTheme="minorHAnsi"/>
        </w:rPr>
        <w:t xml:space="preserve">Indokolt lehet a jelenlegi engedélyezési rendszer </w:t>
      </w:r>
      <w:proofErr w:type="gramStart"/>
      <w:r>
        <w:rPr>
          <w:rFonts w:asciiTheme="minorHAnsi" w:hAnsiTheme="minorHAnsi"/>
        </w:rPr>
        <w:t>MNB</w:t>
      </w:r>
      <w:proofErr w:type="gramEnd"/>
      <w:r>
        <w:rPr>
          <w:rFonts w:asciiTheme="minorHAnsi" w:hAnsiTheme="minorHAnsi"/>
        </w:rPr>
        <w:t xml:space="preserve"> mint </w:t>
      </w:r>
      <w:r w:rsidR="00AB7CFF" w:rsidRPr="003249D9">
        <w:rPr>
          <w:rFonts w:asciiTheme="minorHAnsi" w:hAnsiTheme="minorHAnsi"/>
        </w:rPr>
        <w:t xml:space="preserve">a Pénzügyi Szervezetek Állami Felügyeletének </w:t>
      </w:r>
      <w:r>
        <w:rPr>
          <w:rFonts w:asciiTheme="minorHAnsi" w:hAnsiTheme="minorHAnsi"/>
        </w:rPr>
        <w:t>jogutódja általi felülvizsgálata</w:t>
      </w:r>
      <w:r w:rsidR="00C52572">
        <w:rPr>
          <w:rFonts w:asciiTheme="minorHAnsi" w:hAnsiTheme="minorHAnsi"/>
        </w:rPr>
        <w:t xml:space="preserve"> az </w:t>
      </w:r>
      <w:proofErr w:type="spellStart"/>
      <w:r w:rsidR="00C52572">
        <w:rPr>
          <w:rFonts w:asciiTheme="minorHAnsi" w:hAnsiTheme="minorHAnsi"/>
        </w:rPr>
        <w:t>NPL-ek</w:t>
      </w:r>
      <w:proofErr w:type="spellEnd"/>
      <w:r w:rsidR="00C52572">
        <w:rPr>
          <w:rFonts w:asciiTheme="minorHAnsi" w:hAnsiTheme="minorHAnsi"/>
        </w:rPr>
        <w:t xml:space="preserve"> megvásárlása szempontjából, annak érdekében, hogy meg lehessen állapítani, hogy szükség van-e </w:t>
      </w:r>
      <w:r w:rsidR="00CA7030">
        <w:rPr>
          <w:rFonts w:asciiTheme="minorHAnsi" w:hAnsiTheme="minorHAnsi"/>
        </w:rPr>
        <w:t xml:space="preserve">valamilyen változtatásra az </w:t>
      </w:r>
      <w:proofErr w:type="spellStart"/>
      <w:r w:rsidR="00CA7030">
        <w:rPr>
          <w:rFonts w:asciiTheme="minorHAnsi" w:hAnsiTheme="minorHAnsi"/>
        </w:rPr>
        <w:t>NPL-eket</w:t>
      </w:r>
      <w:proofErr w:type="spellEnd"/>
      <w:r w:rsidR="00CA7030">
        <w:rPr>
          <w:rFonts w:asciiTheme="minorHAnsi" w:hAnsiTheme="minorHAnsi"/>
        </w:rPr>
        <w:t xml:space="preserve"> megvásárolni szándékozó másodlagos piaci befektetők nagyobb részvételének elősegítése céljából.</w:t>
      </w:r>
      <w:r w:rsidR="00AB7CFF" w:rsidRPr="003249D9">
        <w:rPr>
          <w:rFonts w:asciiTheme="minorHAnsi" w:hAnsiTheme="minorHAnsi"/>
        </w:rPr>
        <w:t xml:space="preserve"> </w:t>
      </w:r>
    </w:p>
    <w:p w:rsidR="00BF6ACB" w:rsidRPr="003249D9" w:rsidRDefault="00AB7CFF" w:rsidP="009A73FD">
      <w:pPr>
        <w:pStyle w:val="TASBullet1"/>
        <w:numPr>
          <w:ilvl w:val="0"/>
          <w:numId w:val="46"/>
        </w:numPr>
        <w:rPr>
          <w:rFonts w:asciiTheme="minorHAnsi" w:hAnsiTheme="minorHAnsi"/>
        </w:rPr>
      </w:pPr>
      <w:proofErr w:type="gramStart"/>
      <w:r w:rsidRPr="003249D9">
        <w:rPr>
          <w:rFonts w:asciiTheme="minorHAnsi" w:hAnsiTheme="minorHAnsi"/>
        </w:rPr>
        <w:t xml:space="preserve">Míg a </w:t>
      </w:r>
      <w:proofErr w:type="spellStart"/>
      <w:r w:rsidRPr="003249D9">
        <w:rPr>
          <w:rFonts w:asciiTheme="minorHAnsi" w:hAnsiTheme="minorHAnsi"/>
        </w:rPr>
        <w:t>nemteljesítő</w:t>
      </w:r>
      <w:proofErr w:type="spellEnd"/>
      <w:r w:rsidRPr="003249D9">
        <w:rPr>
          <w:rFonts w:asciiTheme="minorHAnsi" w:hAnsiTheme="minorHAnsi"/>
        </w:rPr>
        <w:t xml:space="preserve"> hiteleket tömegesen és aktívan vásárló, és az ilyen hitelezői-adós kapcsolatokat kétoldalúan bonyolító vállalatok feletti bizonyos fokú ellenőrzés továbbra is az MNB felügyelete alá tartozhatna, az egyszeri ügyletek vagy konstrukciók esetében (különös tekintettel a vállalati portfolióra, ahol nincs szükség a fokozottabb fogyasztóvédelemre), ahol az így megvásárolt követelés végső tulajdonosa és az adósnak egyéb szolgáltatásokat nyújtó (különösen az adós bankszámláit vezető) közbenső vállalat világosan elkülönül, a megfelelő pénzügyi szolgáltatói engedély meglété</w:t>
      </w:r>
      <w:r w:rsidR="00CA7515">
        <w:rPr>
          <w:rFonts w:asciiTheme="minorHAnsi" w:hAnsiTheme="minorHAnsi"/>
        </w:rPr>
        <w:t>re vonatkozó</w:t>
      </w:r>
      <w:proofErr w:type="gramEnd"/>
      <w:r w:rsidR="00CA7515">
        <w:rPr>
          <w:rFonts w:asciiTheme="minorHAnsi" w:hAnsiTheme="minorHAnsi"/>
        </w:rPr>
        <w:t xml:space="preserve"> előírás felülvizsgálata indokolt lehet</w:t>
      </w:r>
      <w:r w:rsidR="00B26E9E">
        <w:rPr>
          <w:rFonts w:asciiTheme="minorHAnsi" w:hAnsiTheme="minorHAnsi"/>
        </w:rPr>
        <w:t xml:space="preserve"> az eljárás </w:t>
      </w:r>
      <w:r w:rsidRPr="003249D9">
        <w:rPr>
          <w:rFonts w:asciiTheme="minorHAnsi" w:hAnsiTheme="minorHAnsi"/>
        </w:rPr>
        <w:t>egyszerűsít</w:t>
      </w:r>
      <w:r w:rsidR="00B26E9E">
        <w:rPr>
          <w:rFonts w:asciiTheme="minorHAnsi" w:hAnsiTheme="minorHAnsi"/>
        </w:rPr>
        <w:t>ésének céljából</w:t>
      </w:r>
      <w:r w:rsidRPr="003249D9">
        <w:rPr>
          <w:rFonts w:asciiTheme="minorHAnsi" w:hAnsiTheme="minorHAnsi"/>
        </w:rPr>
        <w:t>.</w:t>
      </w:r>
    </w:p>
    <w:p w:rsidR="00BF6ACB" w:rsidRPr="003249D9" w:rsidRDefault="00AB7CFF" w:rsidP="009A73FD">
      <w:pPr>
        <w:pStyle w:val="TASTextheading3"/>
        <w:numPr>
          <w:ilvl w:val="2"/>
          <w:numId w:val="44"/>
        </w:numPr>
        <w:rPr>
          <w:rFonts w:asciiTheme="minorHAnsi" w:hAnsiTheme="minorHAnsi"/>
        </w:rPr>
      </w:pPr>
      <w:r w:rsidRPr="003249D9">
        <w:rPr>
          <w:rFonts w:asciiTheme="minorHAnsi" w:hAnsiTheme="minorHAnsi"/>
        </w:rPr>
        <w:t>A hitelbiztosítékok fennmaradása az átruházáskor</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problémák</w:t>
      </w:r>
    </w:p>
    <w:p w:rsidR="00BF6ACB" w:rsidRPr="003249D9" w:rsidRDefault="00350921" w:rsidP="009A73FD">
      <w:pPr>
        <w:pStyle w:val="TASBullet1"/>
        <w:numPr>
          <w:ilvl w:val="0"/>
          <w:numId w:val="46"/>
        </w:numPr>
        <w:rPr>
          <w:rFonts w:asciiTheme="minorHAnsi" w:hAnsiTheme="minorHAnsi"/>
        </w:rPr>
      </w:pPr>
      <w:r>
        <w:rPr>
          <w:rFonts w:asciiTheme="minorHAnsi" w:hAnsiTheme="minorHAnsi"/>
        </w:rPr>
        <w:t>Szintén ide k</w:t>
      </w:r>
      <w:r w:rsidR="00AB7CFF" w:rsidRPr="003249D9">
        <w:rPr>
          <w:rFonts w:asciiTheme="minorHAnsi" w:hAnsiTheme="minorHAnsi"/>
        </w:rPr>
        <w:t>apcsolód</w:t>
      </w:r>
      <w:r>
        <w:rPr>
          <w:rFonts w:asciiTheme="minorHAnsi" w:hAnsiTheme="minorHAnsi"/>
        </w:rPr>
        <w:t>ik annak elősegítése</w:t>
      </w:r>
      <w:proofErr w:type="gramStart"/>
      <w:r>
        <w:rPr>
          <w:rFonts w:asciiTheme="minorHAnsi" w:hAnsiTheme="minorHAnsi"/>
        </w:rPr>
        <w:t xml:space="preserve">, </w:t>
      </w:r>
      <w:r w:rsidR="00AB7CFF" w:rsidRPr="003249D9">
        <w:rPr>
          <w:rFonts w:asciiTheme="minorHAnsi" w:hAnsiTheme="minorHAnsi"/>
        </w:rPr>
        <w:t>,</w:t>
      </w:r>
      <w:proofErr w:type="gramEnd"/>
      <w:r w:rsidR="00AB7CFF" w:rsidRPr="003249D9">
        <w:rPr>
          <w:rFonts w:asciiTheme="minorHAnsi" w:hAnsiTheme="minorHAnsi"/>
        </w:rPr>
        <w:t xml:space="preserve"> hogy egy vagy több NPL értékesítése esetén az új hitelező az addigi hitelező helyébe léphessen és annak összes jogát élvezhesse, különös tekintettel a kapcsolódó hitelbiztosítékokra. </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lastRenderedPageBreak/>
        <w:t xml:space="preserve">E tekintetben meg kell jegyezni, hogy az Új Polgári Törvénykönyv tartalmaz bizonyos ellentmondásokat. Nevezetesen, a 6:208§ (3) cikk úgy rendelkezik, hogy a zálogjog/jelzálog </w:t>
      </w:r>
      <w:r w:rsidR="00A706D0">
        <w:rPr>
          <w:rFonts w:asciiTheme="minorHAnsi" w:hAnsiTheme="minorHAnsi"/>
        </w:rPr>
        <w:t>járulékos</w:t>
      </w:r>
      <w:r w:rsidR="00A706D0" w:rsidRPr="003249D9">
        <w:rPr>
          <w:rFonts w:asciiTheme="minorHAnsi" w:hAnsiTheme="minorHAnsi"/>
        </w:rPr>
        <w:t xml:space="preserve"> </w:t>
      </w:r>
      <w:r w:rsidRPr="003249D9">
        <w:rPr>
          <w:rFonts w:asciiTheme="minorHAnsi" w:hAnsiTheme="minorHAnsi"/>
        </w:rPr>
        <w:t>jellege ellenére, a zálogjog/jelzálog</w:t>
      </w:r>
      <w:r w:rsidR="00D170C4">
        <w:rPr>
          <w:rFonts w:asciiTheme="minorHAnsi" w:hAnsiTheme="minorHAnsi"/>
        </w:rPr>
        <w:t xml:space="preserve"> a</w:t>
      </w:r>
      <w:r w:rsidRPr="003249D9">
        <w:rPr>
          <w:rFonts w:asciiTheme="minorHAnsi" w:hAnsiTheme="minorHAnsi"/>
        </w:rPr>
        <w:t xml:space="preserve"> szerződéses pozíció átruházás</w:t>
      </w:r>
      <w:r w:rsidR="00D170C4">
        <w:rPr>
          <w:rFonts w:asciiTheme="minorHAnsi" w:hAnsiTheme="minorHAnsi"/>
        </w:rPr>
        <w:t>akor újra megalapítottnak minősül</w:t>
      </w:r>
      <w:r w:rsidRPr="003249D9">
        <w:rPr>
          <w:rFonts w:asciiTheme="minorHAnsi" w:hAnsiTheme="minorHAnsi"/>
        </w:rPr>
        <w:t xml:space="preserve">. </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Mindazonáltal megjegyezzük, hogy:</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nem egyértelmű, hogy a </w:t>
      </w:r>
      <w:proofErr w:type="spellStart"/>
      <w:r w:rsidRPr="003249D9">
        <w:rPr>
          <w:rFonts w:asciiTheme="minorHAnsi" w:hAnsiTheme="minorHAnsi"/>
        </w:rPr>
        <w:t>nemteljesítő</w:t>
      </w:r>
      <w:proofErr w:type="spellEnd"/>
      <w:r w:rsidRPr="003249D9">
        <w:rPr>
          <w:rFonts w:asciiTheme="minorHAnsi" w:hAnsiTheme="minorHAnsi"/>
        </w:rPr>
        <w:t xml:space="preserve"> hitelek átruházhatók-e egy másik hitelezőre a teljes szerződés átruházására vonatkozó ezen új magyar jogi elgondolástól eltérő módon, pl. egyszerű engedményezés útján, és </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az Új Polgári Törvénykönyv említett 6:208§ (3) cikke szabályozza az ilyen újonnan alapított hitelbiztosítékok rangsorát, </w:t>
      </w:r>
    </w:p>
    <w:p w:rsidR="00BF6ACB" w:rsidRPr="003249D9" w:rsidRDefault="00AB7CFF" w:rsidP="00BF6ACB">
      <w:pPr>
        <w:pStyle w:val="TASBullet1"/>
        <w:numPr>
          <w:ilvl w:val="0"/>
          <w:numId w:val="0"/>
        </w:numPr>
        <w:ind w:left="288"/>
        <w:rPr>
          <w:rFonts w:asciiTheme="minorHAnsi" w:hAnsiTheme="minorHAnsi"/>
        </w:rPr>
      </w:pPr>
      <w:proofErr w:type="gramStart"/>
      <w:r w:rsidRPr="003249D9">
        <w:rPr>
          <w:rFonts w:asciiTheme="minorHAnsi" w:hAnsiTheme="minorHAnsi"/>
        </w:rPr>
        <w:t>továbbra</w:t>
      </w:r>
      <w:proofErr w:type="gramEnd"/>
      <w:r w:rsidRPr="003249D9">
        <w:rPr>
          <w:rFonts w:asciiTheme="minorHAnsi" w:hAnsiTheme="minorHAnsi"/>
        </w:rPr>
        <w:t xml:space="preserve"> sem világos, hogy a hitelbiztosítékok </w:t>
      </w:r>
      <w:r w:rsidR="007D088E">
        <w:rPr>
          <w:rFonts w:asciiTheme="minorHAnsi" w:hAnsiTheme="minorHAnsi"/>
        </w:rPr>
        <w:t>„</w:t>
      </w:r>
      <w:r w:rsidRPr="003249D9">
        <w:rPr>
          <w:rFonts w:asciiTheme="minorHAnsi" w:hAnsiTheme="minorHAnsi"/>
        </w:rPr>
        <w:t>megszilárdult</w:t>
      </w:r>
      <w:r w:rsidR="007D088E">
        <w:rPr>
          <w:rFonts w:asciiTheme="minorHAnsi" w:hAnsiTheme="minorHAnsi"/>
        </w:rPr>
        <w:t>”</w:t>
      </w:r>
      <w:r w:rsidRPr="003249D9">
        <w:rPr>
          <w:rFonts w:asciiTheme="minorHAnsi" w:hAnsiTheme="minorHAnsi"/>
        </w:rPr>
        <w:t xml:space="preserve"> és megtámadhatatlan természete (a szilárdulási időszakok tekintetében lásd a Jogi háttér fejezet 5.9 részét – </w:t>
      </w:r>
      <w:r w:rsidRPr="003249D9">
        <w:rPr>
          <w:rFonts w:asciiTheme="minorHAnsi" w:hAnsiTheme="minorHAnsi"/>
          <w:i/>
        </w:rPr>
        <w:t>Az érvénytelenítés kockázatának kitett ügyletek</w:t>
      </w:r>
      <w:r w:rsidRPr="003249D9">
        <w:rPr>
          <w:rFonts w:asciiTheme="minorHAnsi" w:hAnsiTheme="minorHAnsi"/>
        </w:rPr>
        <w:t xml:space="preserve">) biztonságos és megkérdőjelezhetetlen módon megőrizhető-e a </w:t>
      </w:r>
      <w:proofErr w:type="spellStart"/>
      <w:r w:rsidRPr="003249D9">
        <w:rPr>
          <w:rFonts w:asciiTheme="minorHAnsi" w:hAnsiTheme="minorHAnsi"/>
        </w:rPr>
        <w:t>nemteljesítő</w:t>
      </w:r>
      <w:proofErr w:type="spellEnd"/>
      <w:r w:rsidRPr="003249D9">
        <w:rPr>
          <w:rFonts w:asciiTheme="minorHAnsi" w:hAnsiTheme="minorHAnsi"/>
        </w:rPr>
        <w:t xml:space="preserve"> hitelek átruházása esetén.</w:t>
      </w:r>
    </w:p>
    <w:p w:rsidR="00BF6ACB" w:rsidRPr="003249D9" w:rsidRDefault="00AB7CFF" w:rsidP="00BF6ACB">
      <w:pPr>
        <w:pStyle w:val="TASTextheading3"/>
        <w:rPr>
          <w:rFonts w:asciiTheme="minorHAnsi" w:hAnsiTheme="minorHAnsi"/>
        </w:rPr>
      </w:pPr>
      <w:r w:rsidRPr="003249D9">
        <w:rPr>
          <w:rFonts w:asciiTheme="minorHAnsi" w:hAnsiTheme="minorHAnsi"/>
        </w:rPr>
        <w:t>Potenciális megoldási lehetőségek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 "biztosítékkal fedezett hitelező" státusz folytatólagosságát és annak fennmaradását a </w:t>
      </w:r>
      <w:proofErr w:type="spellStart"/>
      <w:r w:rsidRPr="003249D9">
        <w:rPr>
          <w:rFonts w:asciiTheme="minorHAnsi" w:hAnsiTheme="minorHAnsi"/>
        </w:rPr>
        <w:t>nemteljesítő</w:t>
      </w:r>
      <w:proofErr w:type="spellEnd"/>
      <w:r w:rsidRPr="003249D9">
        <w:rPr>
          <w:rFonts w:asciiTheme="minorHAnsi" w:hAnsiTheme="minorHAnsi"/>
        </w:rPr>
        <w:t xml:space="preserve"> hitelek esetleges eladása esetén meg kell őrizni. </w:t>
      </w:r>
      <w:proofErr w:type="gramStart"/>
      <w:r w:rsidRPr="003249D9">
        <w:rPr>
          <w:rFonts w:asciiTheme="minorHAnsi" w:hAnsiTheme="minorHAnsi"/>
        </w:rPr>
        <w:t xml:space="preserve">Ennek elősegítése érdekében az Új Polgári Törvénykönyv 6:208§ (3) cikkét úgy kellene módosítani, hogy az lehetővé tegye a felek számára, hogy eltérhessenek a hitelbiztosítékok újbóli alapításának elvétől (ami újraindítja a </w:t>
      </w:r>
      <w:r w:rsidR="00E16B38">
        <w:rPr>
          <w:rFonts w:asciiTheme="minorHAnsi" w:hAnsiTheme="minorHAnsi"/>
        </w:rPr>
        <w:t xml:space="preserve">Csődtörvény </w:t>
      </w:r>
      <w:r w:rsidRPr="003249D9">
        <w:rPr>
          <w:rFonts w:asciiTheme="minorHAnsi" w:hAnsiTheme="minorHAnsi"/>
        </w:rPr>
        <w:t xml:space="preserve">szerinti </w:t>
      </w:r>
      <w:r w:rsidR="00E16B38">
        <w:rPr>
          <w:rFonts w:asciiTheme="minorHAnsi" w:hAnsiTheme="minorHAnsi"/>
        </w:rPr>
        <w:t>„</w:t>
      </w:r>
      <w:r w:rsidRPr="003249D9">
        <w:rPr>
          <w:rFonts w:asciiTheme="minorHAnsi" w:hAnsiTheme="minorHAnsi"/>
        </w:rPr>
        <w:t>szilárdulási időszakot</w:t>
      </w:r>
      <w:r w:rsidR="00E16B38">
        <w:rPr>
          <w:rFonts w:asciiTheme="minorHAnsi" w:hAnsiTheme="minorHAnsi"/>
        </w:rPr>
        <w:t>”</w:t>
      </w:r>
      <w:r w:rsidRPr="003249D9">
        <w:rPr>
          <w:rFonts w:asciiTheme="minorHAnsi" w:hAnsiTheme="minorHAnsi"/>
        </w:rPr>
        <w:t xml:space="preserve">, amely során az ügylet érvényteleníthető), vagy tisztázni kellene, hogy a rangsor fennmaradása kiterjed a hitelbiztosítékok minden egyéb szempontjára, különös tekintettel annak "megszilárdult" természetére és az abból következő megtámadhatatlanságára egy </w:t>
      </w:r>
      <w:r w:rsidR="00B042A0">
        <w:rPr>
          <w:rFonts w:asciiTheme="minorHAnsi" w:hAnsiTheme="minorHAnsi"/>
        </w:rPr>
        <w:t>felszámolási</w:t>
      </w:r>
      <w:r w:rsidR="00B042A0" w:rsidRPr="003249D9">
        <w:rPr>
          <w:rFonts w:asciiTheme="minorHAnsi" w:hAnsiTheme="minorHAnsi"/>
        </w:rPr>
        <w:t xml:space="preserve"> </w:t>
      </w:r>
      <w:r w:rsidRPr="003249D9">
        <w:rPr>
          <w:rFonts w:asciiTheme="minorHAnsi" w:hAnsiTheme="minorHAnsi"/>
        </w:rPr>
        <w:t>eljárás esetén.</w:t>
      </w:r>
      <w:proofErr w:type="gramEnd"/>
    </w:p>
    <w:p w:rsidR="00BF6ACB" w:rsidRPr="003249D9" w:rsidRDefault="00BF6ACB" w:rsidP="00BF6ACB">
      <w:pPr>
        <w:pStyle w:val="TASBullet1"/>
        <w:numPr>
          <w:ilvl w:val="0"/>
          <w:numId w:val="0"/>
        </w:numPr>
        <w:ind w:left="288"/>
        <w:rPr>
          <w:rFonts w:asciiTheme="minorHAnsi" w:hAnsiTheme="minorHAnsi"/>
        </w:rPr>
      </w:pPr>
    </w:p>
    <w:p w:rsidR="00BF6ACB" w:rsidRPr="003249D9" w:rsidRDefault="00AB7CFF" w:rsidP="00BF6ACB">
      <w:pPr>
        <w:pStyle w:val="TASTextheading1"/>
        <w:rPr>
          <w:rFonts w:asciiTheme="minorHAnsi" w:hAnsiTheme="minorHAnsi"/>
        </w:rPr>
      </w:pPr>
      <w:r w:rsidRPr="003249D9">
        <w:rPr>
          <w:rFonts w:asciiTheme="minorHAnsi" w:hAnsiTheme="minorHAnsi"/>
        </w:rPr>
        <w:t>3. BÍRÓSÁGI VÉGREHAJTÁS</w:t>
      </w:r>
    </w:p>
    <w:p w:rsidR="00BF6ACB" w:rsidRPr="003249D9" w:rsidRDefault="00AB7CFF" w:rsidP="00BF6ACB">
      <w:pPr>
        <w:pStyle w:val="TASTextheading3"/>
        <w:rPr>
          <w:rFonts w:asciiTheme="minorHAnsi" w:hAnsiTheme="minorHAnsi"/>
        </w:rPr>
      </w:pPr>
      <w:r w:rsidRPr="003249D9">
        <w:rPr>
          <w:rFonts w:asciiTheme="minorHAnsi" w:hAnsiTheme="minorHAnsi"/>
        </w:rPr>
        <w:t>3.1.1 Általános megjegyzések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követelések végrehajtására vonatkozó jogszabályok 2009-ben jelentős módosításokon estek át és az általános környezet érezhetően javult a hitelezők számára. 2009 óta jelentősen megnőtt a bírósági végrehajtások száma, mivel a fizetési meghagyásokra vonatkozó törvényi rendelkezések módosítása és az ilyen fizetési meghagyások kibocsátásnak áthelyezése a bíróságokról a közjegyzők hatáskörébe megkönnyítette a hitelezők számára a követeléseik végrehajtásának kezdeményezését.</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 gyakorlatban a lakossági végrehajtási esetek száma felülmúlja a vállalati végrehajtásokat, mivel ez utóbbi a teljes esetszámnak csak 20-30%-át teszi ki. Ezen belül, az olyan ügyek aránya, ahol az ügyletérték meghaladja az 50 millió forintot (kb. 170.000 EUR) 1% alatt van. </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 magas ügyletértékű végrehajtási ügyek alacsony száma annak tulajdonítható, hogy ilyen esetekben viszonylag sok más óvintézkedés és alternatív eljárás áll a hitelezők rendelkezésére. Továbbá, szemmel láthatóan a felszámolás eljárások vannak túlsúlyban: a hitelezők inkább felszámolási eljárást indítanak, mivel az nyilvánvalóan súlyosabb következményekkel fenyegeti az adósokat és általában </w:t>
      </w:r>
      <w:proofErr w:type="spellStart"/>
      <w:r w:rsidRPr="003249D9">
        <w:rPr>
          <w:rFonts w:asciiTheme="minorHAnsi" w:hAnsiTheme="minorHAnsi"/>
        </w:rPr>
        <w:t>egyértelműbb</w:t>
      </w:r>
      <w:proofErr w:type="spellEnd"/>
      <w:r w:rsidRPr="003249D9">
        <w:rPr>
          <w:rFonts w:asciiTheme="minorHAnsi" w:hAnsiTheme="minorHAnsi"/>
        </w:rPr>
        <w:t>, ha az adós kellő számú eszközzel rendelkezik, de az eljárásban több hitelező is érintett. Azonban, ha az adós (már) nem rendelkezik vagyonnal, a felszámolás előbb-utóbb elindul, ami a törvény értelmében a végrehajtási eljárások megszüntetését eredményezi.</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problémák, amelyek a Projekt tárgyát is érintik, a következőképpen foglalhatók össze – egyben azonnal feltüntetve mellettük bizonyos lehetséges megoldásokat, amennyiben értelmezhető.</w:t>
      </w:r>
    </w:p>
    <w:p w:rsidR="00BF6ACB" w:rsidRPr="003249D9" w:rsidRDefault="00AB7CFF" w:rsidP="00BF6ACB">
      <w:pPr>
        <w:pStyle w:val="TASTextheading3"/>
        <w:rPr>
          <w:rFonts w:asciiTheme="minorHAnsi" w:hAnsiTheme="minorHAnsi"/>
        </w:rPr>
      </w:pPr>
      <w:r w:rsidRPr="003249D9">
        <w:rPr>
          <w:rFonts w:asciiTheme="minorHAnsi" w:hAnsiTheme="minorHAnsi"/>
        </w:rPr>
        <w:t>3.1.2. Bírósági végrehajtók és bíróságok</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problémák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magyar bírósági végrehajtók egyrészről az államhatalmat képviselik, közfeladatokat látnak el és jogukban áll állam</w:t>
      </w:r>
      <w:r w:rsidR="00B042A0">
        <w:rPr>
          <w:rFonts w:asciiTheme="minorHAnsi" w:hAnsiTheme="minorHAnsi"/>
        </w:rPr>
        <w:t>i kényszert</w:t>
      </w:r>
      <w:r w:rsidRPr="003249D9">
        <w:rPr>
          <w:rFonts w:asciiTheme="minorHAnsi" w:hAnsiTheme="minorHAnsi"/>
        </w:rPr>
        <w:t xml:space="preserve"> alkalmazni a tevékenységük ellátásával kapcsolatban. Másrészről, a bírósági végrehajtók egyben nyereségorientált vállalkozók is, akikre hatással vannak az aktuális piaci feltételek. Ez a kettősség félreérthetőségre ad okot a végrehajtók jogállása és felelőssége tekintetében.</w:t>
      </w:r>
    </w:p>
    <w:p w:rsidR="00BF6ACB" w:rsidRPr="003249D9" w:rsidRDefault="00AB7CFF" w:rsidP="00BF6ACB">
      <w:pPr>
        <w:pStyle w:val="TASTextheading3"/>
        <w:rPr>
          <w:rFonts w:asciiTheme="minorHAnsi" w:hAnsiTheme="minorHAnsi"/>
        </w:rPr>
      </w:pPr>
      <w:r w:rsidRPr="003249D9">
        <w:rPr>
          <w:rFonts w:asciiTheme="minorHAnsi" w:hAnsiTheme="minorHAnsi"/>
        </w:rPr>
        <w:t>Javasolt megoldások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Véleményünk szerint a jelenlegi törvényi környezet alapvetően megfelelő, és a bírósági végrehajtót a magyar állam képviselőjének és a törvényben meghatározott összes jogköre birtokosának kell tekinteni, aki független és nem a hitelező </w:t>
      </w:r>
      <w:r w:rsidRPr="003249D9">
        <w:rPr>
          <w:rFonts w:asciiTheme="minorHAnsi" w:hAnsiTheme="minorHAnsi"/>
        </w:rPr>
        <w:lastRenderedPageBreak/>
        <w:t>javára jár el, hanem felügyeli az eljárást és segítséget nyújt az összes harmadik félnek (ideértve a hitelezőket) a jogaik érvényesítésében.</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problémák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 bírósági végrehajtók területi hatásköre törvényileg került meghatározásra (lásd a Jogi háttér fejezet 3.1 szakaszát – </w:t>
      </w:r>
      <w:proofErr w:type="gramStart"/>
      <w:r w:rsidRPr="003249D9">
        <w:rPr>
          <w:rFonts w:asciiTheme="minorHAnsi" w:hAnsiTheme="minorHAnsi"/>
          <w:i/>
        </w:rPr>
        <w:t>A</w:t>
      </w:r>
      <w:proofErr w:type="gramEnd"/>
      <w:r w:rsidRPr="003249D9">
        <w:rPr>
          <w:rFonts w:asciiTheme="minorHAnsi" w:hAnsiTheme="minorHAnsi"/>
          <w:i/>
        </w:rPr>
        <w:t xml:space="preserve"> bírósági végrehajtási eljárás alapvető lépései).</w:t>
      </w:r>
      <w:r w:rsidRPr="003249D9">
        <w:rPr>
          <w:rFonts w:asciiTheme="minorHAnsi" w:hAnsiTheme="minorHAnsi"/>
        </w:rPr>
        <w:t xml:space="preserve"> Ily módon a hitelezők nem választhatnak szabadon bírósági végrehajtót és nem nyújthatnak be kifogást az illetékes bírósági végrehajtó személye ellen. Ennek eredményeképpen nem érvényesülhetnek az olyan fontos tényezők, mint a szakmai hozzáértés, leterheltség, egyedi ismeretek és a hitelezők általi visszacsatolás.</w:t>
      </w:r>
    </w:p>
    <w:p w:rsidR="00BF6ACB" w:rsidRPr="003249D9" w:rsidRDefault="00AB7CFF" w:rsidP="00BF6ACB">
      <w:pPr>
        <w:pStyle w:val="TASTextheading3"/>
        <w:rPr>
          <w:rFonts w:asciiTheme="minorHAnsi" w:hAnsiTheme="minorHAnsi"/>
        </w:rPr>
      </w:pPr>
      <w:r w:rsidRPr="003249D9">
        <w:rPr>
          <w:rFonts w:asciiTheme="minorHAnsi" w:hAnsiTheme="minorHAnsi"/>
        </w:rPr>
        <w:t>Javasolt megoldások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Az illetékes bírósági végrehajtó törvényi kinevezésének jelenlegi meglehetősen merev módja lazítható lenne, lehetővé téve a végrehajtási eljárást kezdeményező hitelező számára, hogy több befolyással rendelkezzen a bírósági végrehajtó kiválasztása terén. Ez a kinevezési módszer magában foglalhatna egy testre szabottabb díjmegállapodást a bírósági végrehajtásról szóló törvényben meghatározott jogi keret lehetőségein belül.</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Ami a végrehajtókra vonatkozó meglévő területi korlátozásokat illeti, két potenciális lehetőség van, ami szélesebb jogokat biztosíthatna a hitelezőknek:</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területi korlátozások meghatározása a végrehajtó kinevezésére vonatkozóan oly módon, hogy a hitelező csak olyan végrehajtót nevezhessen ki, aki az adós székhelye szerinti </w:t>
      </w:r>
      <w:r w:rsidR="00375117">
        <w:rPr>
          <w:rFonts w:asciiTheme="minorHAnsi" w:hAnsiTheme="minorHAnsi"/>
        </w:rPr>
        <w:t>megyében</w:t>
      </w:r>
      <w:r w:rsidR="00375117" w:rsidRPr="003249D9">
        <w:rPr>
          <w:rFonts w:asciiTheme="minorHAnsi" w:hAnsiTheme="minorHAnsi"/>
        </w:rPr>
        <w:t xml:space="preserve"> </w:t>
      </w:r>
      <w:r w:rsidRPr="003249D9">
        <w:rPr>
          <w:rFonts w:asciiTheme="minorHAnsi" w:hAnsiTheme="minorHAnsi"/>
        </w:rPr>
        <w:t>működik; vagy</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meglévő területi korlátozások megszüntetése. Ebben az esetben a végrehajtást kezdeményező hitelezőnek nem csak meg kell előlegeznie, hanem viselnie is kell azokat az indokolt és dokumentált költségeket, amelyek </w:t>
      </w:r>
      <w:proofErr w:type="gramStart"/>
      <w:r w:rsidRPr="003249D9">
        <w:rPr>
          <w:rFonts w:asciiTheme="minorHAnsi" w:hAnsiTheme="minorHAnsi"/>
        </w:rPr>
        <w:t>amiatt</w:t>
      </w:r>
      <w:proofErr w:type="gramEnd"/>
      <w:r w:rsidRPr="003249D9">
        <w:rPr>
          <w:rFonts w:asciiTheme="minorHAnsi" w:hAnsiTheme="minorHAnsi"/>
        </w:rPr>
        <w:t xml:space="preserve"> merülnek fel, hogy a végrehajtó telephelye és az adós székhelye más </w:t>
      </w:r>
      <w:r w:rsidR="00757E43">
        <w:rPr>
          <w:rFonts w:asciiTheme="minorHAnsi" w:hAnsiTheme="minorHAnsi"/>
        </w:rPr>
        <w:t>megyében</w:t>
      </w:r>
      <w:r w:rsidR="00757E43" w:rsidRPr="003249D9">
        <w:rPr>
          <w:rFonts w:asciiTheme="minorHAnsi" w:hAnsiTheme="minorHAnsi"/>
        </w:rPr>
        <w:t xml:space="preserve"> </w:t>
      </w:r>
      <w:r w:rsidRPr="003249D9">
        <w:rPr>
          <w:rFonts w:asciiTheme="minorHAnsi" w:hAnsiTheme="minorHAnsi"/>
        </w:rPr>
        <w:t>található.</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Amennyiben a végrehajtást kezdeményező hitelező nem kapja meg a bírósági végrehajtó kinevezésének jogát, akkor legalább az a jog meg kell</w:t>
      </w:r>
      <w:r w:rsidR="0092428C">
        <w:rPr>
          <w:rFonts w:asciiTheme="minorHAnsi" w:hAnsiTheme="minorHAnsi"/>
        </w:rPr>
        <w:t>ene,</w:t>
      </w:r>
      <w:r w:rsidRPr="003249D9">
        <w:rPr>
          <w:rFonts w:asciiTheme="minorHAnsi" w:hAnsiTheme="minorHAnsi"/>
        </w:rPr>
        <w:t xml:space="preserve"> hogy illesse, hogy kifogást emeljen a kirendelt bírósági végrehajtó személye ellen a jelenlegi törvényi keretek között és javaslatot tegyen </w:t>
      </w:r>
      <w:r w:rsidR="0092428C">
        <w:rPr>
          <w:rFonts w:asciiTheme="minorHAnsi" w:hAnsiTheme="minorHAnsi"/>
        </w:rPr>
        <w:t>egy másik végrehajtó</w:t>
      </w:r>
      <w:r w:rsidRPr="003249D9">
        <w:rPr>
          <w:rFonts w:asciiTheme="minorHAnsi" w:hAnsiTheme="minorHAnsi"/>
        </w:rPr>
        <w:t xml:space="preserve"> személyére.</w:t>
      </w:r>
    </w:p>
    <w:p w:rsidR="00BF6ACB" w:rsidRPr="003249D9" w:rsidRDefault="00AB7CFF" w:rsidP="00BF6ACB">
      <w:pPr>
        <w:pStyle w:val="TASTextheading3"/>
        <w:rPr>
          <w:rFonts w:asciiTheme="minorHAnsi" w:hAnsiTheme="minorHAnsi"/>
        </w:rPr>
      </w:pPr>
      <w:r w:rsidRPr="003249D9">
        <w:rPr>
          <w:rFonts w:asciiTheme="minorHAnsi" w:hAnsiTheme="minorHAnsi"/>
        </w:rPr>
        <w:t>3.1.3. Vagyonértékesítés</w:t>
      </w:r>
    </w:p>
    <w:p w:rsidR="00BF6ACB" w:rsidRPr="003249D9" w:rsidRDefault="00AB7CFF" w:rsidP="00BF6ACB">
      <w:pPr>
        <w:pStyle w:val="TASTextheading3"/>
        <w:rPr>
          <w:rFonts w:asciiTheme="minorHAnsi" w:hAnsiTheme="minorHAnsi"/>
        </w:rPr>
      </w:pPr>
      <w:r w:rsidRPr="003249D9">
        <w:rPr>
          <w:rFonts w:asciiTheme="minorHAnsi" w:hAnsiTheme="minorHAnsi"/>
        </w:rPr>
        <w:t>Gyakorlati problémák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Az érintett felek egyetértenek abban, hogy a végrehajtási értékesítésre alkalmazott elektronikus árverési rendszer hasznos abban, hogy elősegítse az árverések átláthatóságának növelését. Azonban, úgy tűnik, hogy az érintettek különböző véleményen vannak a vonatkozó honlap működését illetően. A Magyar Bírósági Végrehajtói Kamara szerint a rendszer </w:t>
      </w:r>
      <w:r w:rsidR="00483D47">
        <w:rPr>
          <w:rFonts w:asciiTheme="minorHAnsi" w:hAnsiTheme="minorHAnsi"/>
        </w:rPr>
        <w:t>megfelelően</w:t>
      </w:r>
      <w:r w:rsidR="00483D47" w:rsidRPr="003249D9">
        <w:rPr>
          <w:rFonts w:asciiTheme="minorHAnsi" w:hAnsiTheme="minorHAnsi"/>
        </w:rPr>
        <w:t xml:space="preserve"> </w:t>
      </w:r>
      <w:r w:rsidRPr="003249D9">
        <w:rPr>
          <w:rFonts w:asciiTheme="minorHAnsi" w:hAnsiTheme="minorHAnsi"/>
        </w:rPr>
        <w:t xml:space="preserve">működik, kialakításra kerültek a műszaki feltételek és azt is hozzátették, hogy folyamatban van az angol/német nyelvű hozzáférés bevezetése is. </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Ugyanakkor a bankok nem osztják ezt a véleményt, azt állítva, hogy a rendszer nem nyújt elegendő tájékoztatást, a keresési funkciók használata meglehetősen nehézkes és a műszaki feltételek sok kívánni valót hagynak maguk után.</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gyakorlatban a potenciális ajánlattevők hiánya is problémát okoz, elsősorban a vállalati végrehajtási ügyeknél és bizonyos ingóságok – mint például a gyártósorok és egyedi gépek – értékesítésénél, amelyek csak szakmai befektetők számára lennének érdekesek.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Sok bank jelezte, hogy tapasztalatuk szerint bizonyos bírósági végrehajtók nem együttműködőek a potenciális ajánlattevők azon kérése tekintetében, hogy megtekinthessék az értékesítendő</w:t>
      </w:r>
      <w:r w:rsidR="00405471">
        <w:rPr>
          <w:rFonts w:asciiTheme="minorHAnsi" w:hAnsiTheme="minorHAnsi"/>
        </w:rPr>
        <w:t xml:space="preserve"> </w:t>
      </w:r>
      <w:r w:rsidRPr="003249D9">
        <w:rPr>
          <w:rFonts w:asciiTheme="minorHAnsi" w:hAnsiTheme="minorHAnsi"/>
        </w:rPr>
        <w:t>ingatlant.</w:t>
      </w:r>
    </w:p>
    <w:p w:rsidR="00BF6ACB" w:rsidRPr="003249D9" w:rsidRDefault="00AB7CFF" w:rsidP="00BF6ACB">
      <w:pPr>
        <w:pStyle w:val="TASTextheading3"/>
        <w:rPr>
          <w:rFonts w:asciiTheme="minorHAnsi" w:hAnsiTheme="minorHAnsi"/>
        </w:rPr>
      </w:pPr>
      <w:r w:rsidRPr="003249D9">
        <w:rPr>
          <w:rFonts w:asciiTheme="minorHAnsi" w:hAnsiTheme="minorHAnsi"/>
        </w:rPr>
        <w:t>Potenciális megoldási lehetőségek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 Magyar Bírósági Végrehajtói Kamara végezze el a mostani elektronikus árverési rendszer </w:t>
      </w:r>
      <w:r w:rsidR="00483D47">
        <w:rPr>
          <w:rFonts w:asciiTheme="minorHAnsi" w:hAnsiTheme="minorHAnsi"/>
        </w:rPr>
        <w:t>felülvizsgálatát</w:t>
      </w:r>
      <w:r w:rsidR="00483D47" w:rsidRPr="003249D9">
        <w:rPr>
          <w:rFonts w:asciiTheme="minorHAnsi" w:hAnsiTheme="minorHAnsi"/>
        </w:rPr>
        <w:t xml:space="preserve"> </w:t>
      </w:r>
      <w:r w:rsidRPr="003249D9">
        <w:rPr>
          <w:rFonts w:asciiTheme="minorHAnsi" w:hAnsiTheme="minorHAnsi"/>
        </w:rPr>
        <w:t>és kérje ki a hitelezők véleményét. Ezt követően kérjen rendszeres visszajelzést a hitelezőktől, és annak alapján szükség szerint tökéletesítse a rendszert.</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problémák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vevő röviddel a sikeres ajánlattétel után köteles megfizetni az ingatlan teljes vételárát. Azonban, az adós számára rendelkezésre álló jogorvoslati lehetőségek miatt a megvásárolt ingatlan tényleges birtokbaadásának dátuma többnyire meglehetősen bizonytalan és akár egy évbe is beletelhet, amíg a vevő birtokba veheti azt az ingatlant</w:t>
      </w:r>
      <w:r w:rsidR="00483D47">
        <w:rPr>
          <w:rFonts w:asciiTheme="minorHAnsi" w:hAnsiTheme="minorHAnsi"/>
        </w:rPr>
        <w:t>,</w:t>
      </w:r>
      <w:r w:rsidRPr="003249D9">
        <w:rPr>
          <w:rFonts w:asciiTheme="minorHAnsi" w:hAnsiTheme="minorHAnsi"/>
        </w:rPr>
        <w:t xml:space="preserve"> amit már jóval korábban kifizetett.</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lastRenderedPageBreak/>
        <w:t xml:space="preserve">A közüzemi szolgáltatók többnyire kötelezik az ingatlan új tulajdonosát, hogy </w:t>
      </w:r>
      <w:r w:rsidR="00483D47">
        <w:rPr>
          <w:rFonts w:asciiTheme="minorHAnsi" w:hAnsiTheme="minorHAnsi"/>
        </w:rPr>
        <w:t xml:space="preserve">az </w:t>
      </w:r>
      <w:r w:rsidRPr="003249D9">
        <w:rPr>
          <w:rFonts w:asciiTheme="minorHAnsi" w:hAnsiTheme="minorHAnsi"/>
        </w:rPr>
        <w:t>fizess</w:t>
      </w:r>
      <w:r w:rsidR="00483D47">
        <w:rPr>
          <w:rFonts w:asciiTheme="minorHAnsi" w:hAnsiTheme="minorHAnsi"/>
        </w:rPr>
        <w:t>e ki</w:t>
      </w:r>
      <w:r w:rsidRPr="003249D9">
        <w:rPr>
          <w:rFonts w:asciiTheme="minorHAnsi" w:hAnsiTheme="minorHAnsi"/>
        </w:rPr>
        <w:t xml:space="preserve"> az előző fogyasztó/ingatlantulajdonos tartozását. Ez a sajnálatos gyakorlat előreláthatatlan többletköltségeket ró a bankokra a biztosíték átvételekor.</w:t>
      </w:r>
    </w:p>
    <w:p w:rsidR="00BF6ACB" w:rsidRPr="003249D9" w:rsidRDefault="00AB7CFF" w:rsidP="00BF6ACB">
      <w:pPr>
        <w:pStyle w:val="TASTextheading3"/>
        <w:rPr>
          <w:rFonts w:asciiTheme="minorHAnsi" w:hAnsiTheme="minorHAnsi"/>
        </w:rPr>
      </w:pPr>
      <w:r w:rsidRPr="003249D9">
        <w:rPr>
          <w:rFonts w:asciiTheme="minorHAnsi" w:hAnsiTheme="minorHAnsi"/>
        </w:rPr>
        <w:t>Potenciális megoldási lehetőségek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Mivel mindkét fenti probléma a törvényes jogokkal való visszaélésből ered, tényleges megoldást az ilyen ügyek gyorsabb és hatékonyabb bírósági felülvizsgálata jelentené.</w:t>
      </w:r>
    </w:p>
    <w:p w:rsidR="00BF6ACB" w:rsidRPr="003249D9" w:rsidRDefault="00AB7CFF" w:rsidP="00BF6ACB">
      <w:pPr>
        <w:pStyle w:val="TASTextheading3"/>
        <w:rPr>
          <w:rFonts w:asciiTheme="minorHAnsi" w:hAnsiTheme="minorHAnsi"/>
        </w:rPr>
      </w:pPr>
      <w:r w:rsidRPr="003249D9">
        <w:rPr>
          <w:rFonts w:asciiTheme="minorHAnsi" w:hAnsiTheme="minorHAnsi"/>
        </w:rPr>
        <w:t>3.1.4. Aránytalan díjak és költségek</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problémák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 végrehajtást kezdeményező hitelező köteles a végrehajtási költségekre előleget fizetni a bírósági végrehajtónak (lásd a Jogi háttér fejezet 3.3 szakaszát - </w:t>
      </w:r>
      <w:r w:rsidRPr="003249D9">
        <w:rPr>
          <w:rFonts w:asciiTheme="minorHAnsi" w:hAnsiTheme="minorHAnsi"/>
          <w:i/>
        </w:rPr>
        <w:t>A bírósági végrehajtás költségei</w:t>
      </w:r>
      <w:r w:rsidRPr="003249D9">
        <w:rPr>
          <w:rFonts w:asciiTheme="minorHAnsi" w:hAnsiTheme="minorHAnsi"/>
        </w:rPr>
        <w:t>). Azonban, az eljárás kezdeményezésekor a hitelező nem tudja felmérni, hogy a végrehajtás sikeres lesz-e és érdemes-e megelőlegezni a kapcsolódó költségeket.</w:t>
      </w:r>
    </w:p>
    <w:p w:rsidR="00BF6ACB" w:rsidRPr="003249D9" w:rsidRDefault="00AB7CFF" w:rsidP="00BF6ACB">
      <w:pPr>
        <w:pStyle w:val="TASTextheading3"/>
        <w:rPr>
          <w:rFonts w:asciiTheme="minorHAnsi" w:hAnsiTheme="minorHAnsi"/>
        </w:rPr>
      </w:pPr>
      <w:r w:rsidRPr="003249D9">
        <w:rPr>
          <w:rFonts w:asciiTheme="minorHAnsi" w:hAnsiTheme="minorHAnsi"/>
        </w:rPr>
        <w:t>Potenciális megoldási lehetőségek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bírósági végrehajtásról szóló törvény korábban tartalmazta az "előzetes eljárás" fogalmát, amit 2007-ig használtak. A vonatkozó rendelkezések szerint a végrehajtható okirattal rendelkező hitelező kérésére a bírósági végrehajtó köteles volt tájékoztatni az illető hitelezőt az adós vagyonáról, azok rendelkezésre állásáról és az adós ellen folyamatban lévő esetleges más végrehajtási eljárásokról. E tájékoztatás alapján a hitelező megalapozottabban volt képes felmérni, hogy előnyös-e kezdeményezni a végrehajtást és megelőlegezni annak költségeit.</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Fontolóra vehető az említett "előzetes eljárás" újbóli életbeléptetése. Természetesen az adós számára is biztosítani kell a szükséges garanciákat, mint például az adatvédelmi szabályokat és a megszerzett információ felhasználási körének szűkítését.</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problémák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 végrehajtói díj összegét az ügy értéke vagy az elvégzett munka mennyisége alapján kell kiszámítani. A hitelezők tapasztalata szerint a bírósági végrehajtó díja túl magas az elvégzett munkához képest. </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Emellett, a végrehajtó sikeres végrehajtás esetén értékesítési jutalékra is jogosult, de az alapdíjat és a költségeket akkor is ki kell fizetni, ha az eljárás sikertelennek bizonyul. Így a hitelezők úgy érzik, hogy a bírósági végrehaj</w:t>
      </w:r>
      <w:r w:rsidR="00993BB4" w:rsidRPr="003249D9">
        <w:rPr>
          <w:rFonts w:asciiTheme="minorHAnsi" w:hAnsiTheme="minorHAnsi"/>
        </w:rPr>
        <w:t xml:space="preserve">tók ténylegesen nem érdekeltek </w:t>
      </w:r>
      <w:r w:rsidRPr="003249D9">
        <w:rPr>
          <w:rFonts w:asciiTheme="minorHAnsi" w:hAnsiTheme="minorHAnsi"/>
        </w:rPr>
        <w:t>a vagyon gyors és hatékony értékesítésében, valamint az eljárás gyors és sikeres lezárásában.</w:t>
      </w:r>
    </w:p>
    <w:p w:rsidR="00BF6ACB" w:rsidRPr="003249D9" w:rsidRDefault="00AB7CFF" w:rsidP="00BF6ACB">
      <w:pPr>
        <w:pStyle w:val="TASTextheading3"/>
        <w:rPr>
          <w:rFonts w:asciiTheme="minorHAnsi" w:hAnsiTheme="minorHAnsi"/>
        </w:rPr>
      </w:pPr>
      <w:r w:rsidRPr="003249D9">
        <w:rPr>
          <w:rFonts w:asciiTheme="minorHAnsi" w:hAnsiTheme="minorHAnsi"/>
        </w:rPr>
        <w:t>Potenciális megoldási lehetőségek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Annak biztosítása érdekében, hogy a bírósági végrehajtó ésszerű időkereten belül lefolytassa a végrehajtást, a bírósági végrehajtó díja függővé tehető lenne az eljárás hosszától vagy az értékesítési eljárás egyes lépéseinek lezárásától. Így az eljárás elhúzódásával a bírósági végrehajtó díja ésszerű keretek között </w:t>
      </w:r>
      <w:proofErr w:type="gramStart"/>
      <w:r w:rsidRPr="003249D9">
        <w:rPr>
          <w:rFonts w:asciiTheme="minorHAnsi" w:hAnsiTheme="minorHAnsi"/>
        </w:rPr>
        <w:t>csökkenne</w:t>
      </w:r>
      <w:proofErr w:type="gramEnd"/>
      <w:r w:rsidRPr="003249D9">
        <w:rPr>
          <w:rFonts w:asciiTheme="minorHAnsi" w:hAnsiTheme="minorHAnsi"/>
        </w:rPr>
        <w:t xml:space="preserve"> és részben köthető lehetne a végrehajtó által elért tényleges bevételhez is.</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Konkrét törvényi határidőket lehetne meghatározni a bírósági végrehajtók számára a hitelezők kérdéseinek megválaszolásra vagy kéréseinek teljesítésére, és általánosabban, a végrehajtási eljárás ésszerűen elérhető legjobb ár melletti gyors lezárásának ösztönzésére.</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Az érintett felek elégséges együttműködésének és kommunikációjának biztosítása érdekében a vonatkozó törvények előírhatnák a bírósági végrehajtók számára a rendszeres beszámolási kötelezettséget az eljárásban érintett hitelezők felé. A vonatkozó rendelkezés kitérhetne a következőkre is:</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az említett beszámolási kötelezettség tartalmára, mint például kimutatás a bírósági végrehajtónál felmerült költségek és kiadások tényleges összegéről, a vagyonértékesítés állapota és az adós pénzügyi helyzetére vonatkozó bármely más odavágó információ; és</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beszámolási kötelezettség teljesítésére előírt időszakokra, pl. havi, negyedéves vagy féléves.</w:t>
      </w:r>
    </w:p>
    <w:p w:rsidR="00BF6ACB" w:rsidRPr="003249D9" w:rsidRDefault="00AB7CFF" w:rsidP="00BF6ACB">
      <w:pPr>
        <w:pStyle w:val="TASTextheading3"/>
        <w:rPr>
          <w:rFonts w:asciiTheme="minorHAnsi" w:hAnsiTheme="minorHAnsi"/>
        </w:rPr>
      </w:pPr>
      <w:r w:rsidRPr="003249D9">
        <w:rPr>
          <w:rFonts w:asciiTheme="minorHAnsi" w:hAnsiTheme="minorHAnsi"/>
        </w:rPr>
        <w:lastRenderedPageBreak/>
        <w:t>3.1.5. Kifogások elbírálása</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problémák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 végrehajtási kifogások elbírálására vonatkozóan nincs bevett bírósági gyakorlat. Ezekkel az ügyekkel a bírósági </w:t>
      </w:r>
      <w:r w:rsidR="00037D59">
        <w:rPr>
          <w:rFonts w:asciiTheme="minorHAnsi" w:hAnsiTheme="minorHAnsi"/>
        </w:rPr>
        <w:t>titkárok</w:t>
      </w:r>
      <w:r w:rsidR="00037D59" w:rsidRPr="003249D9">
        <w:rPr>
          <w:rFonts w:asciiTheme="minorHAnsi" w:hAnsiTheme="minorHAnsi"/>
        </w:rPr>
        <w:t xml:space="preserve"> </w:t>
      </w:r>
      <w:r w:rsidRPr="003249D9">
        <w:rPr>
          <w:rFonts w:asciiTheme="minorHAnsi" w:hAnsiTheme="minorHAnsi"/>
        </w:rPr>
        <w:t xml:space="preserve">foglalkoznak az elsőfokú eljárásban, </w:t>
      </w:r>
      <w:r w:rsidR="00037D59">
        <w:rPr>
          <w:rFonts w:asciiTheme="minorHAnsi" w:hAnsiTheme="minorHAnsi"/>
        </w:rPr>
        <w:t>ahol a személyi állomány</w:t>
      </w:r>
      <w:r w:rsidRPr="003249D9">
        <w:rPr>
          <w:rFonts w:asciiTheme="minorHAnsi" w:hAnsiTheme="minorHAnsi"/>
        </w:rPr>
        <w:t xml:space="preserve"> folyamatosan változ</w:t>
      </w:r>
      <w:r w:rsidR="00037D59">
        <w:rPr>
          <w:rFonts w:asciiTheme="minorHAnsi" w:hAnsiTheme="minorHAnsi"/>
        </w:rPr>
        <w:t>ik</w:t>
      </w:r>
      <w:r w:rsidRPr="003249D9">
        <w:rPr>
          <w:rFonts w:asciiTheme="minorHAnsi" w:hAnsiTheme="minorHAnsi"/>
        </w:rPr>
        <w:t xml:space="preserve">, ami gátolja az egységes gyakorlat kialakulását. </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 bírósági </w:t>
      </w:r>
      <w:r w:rsidR="00037D59">
        <w:rPr>
          <w:rFonts w:asciiTheme="minorHAnsi" w:hAnsiTheme="minorHAnsi"/>
        </w:rPr>
        <w:t>titkárok</w:t>
      </w:r>
      <w:r w:rsidR="00037D59" w:rsidRPr="003249D9">
        <w:rPr>
          <w:rFonts w:asciiTheme="minorHAnsi" w:hAnsiTheme="minorHAnsi"/>
        </w:rPr>
        <w:t xml:space="preserve"> </w:t>
      </w:r>
      <w:r w:rsidRPr="003249D9">
        <w:rPr>
          <w:rFonts w:asciiTheme="minorHAnsi" w:hAnsiTheme="minorHAnsi"/>
        </w:rPr>
        <w:t xml:space="preserve">nem részesülnek semmilyen </w:t>
      </w:r>
      <w:r w:rsidR="00037D59">
        <w:rPr>
          <w:rFonts w:asciiTheme="minorHAnsi" w:hAnsiTheme="minorHAnsi"/>
        </w:rPr>
        <w:t>speciális</w:t>
      </w:r>
      <w:r w:rsidR="00037D59" w:rsidRPr="003249D9">
        <w:rPr>
          <w:rFonts w:asciiTheme="minorHAnsi" w:hAnsiTheme="minorHAnsi"/>
        </w:rPr>
        <w:t xml:space="preserve"> </w:t>
      </w:r>
      <w:r w:rsidRPr="003249D9">
        <w:rPr>
          <w:rFonts w:asciiTheme="minorHAnsi" w:hAnsiTheme="minorHAnsi"/>
        </w:rPr>
        <w:t xml:space="preserve">szakmai felkészítésben a bírósági végrehajtási eljárást és a kapcsolódó gazdasági </w:t>
      </w:r>
      <w:r w:rsidR="00037D59">
        <w:rPr>
          <w:rFonts w:asciiTheme="minorHAnsi" w:hAnsiTheme="minorHAnsi"/>
        </w:rPr>
        <w:t>ismereteket</w:t>
      </w:r>
      <w:r w:rsidR="00037D59" w:rsidRPr="003249D9">
        <w:rPr>
          <w:rFonts w:asciiTheme="minorHAnsi" w:hAnsiTheme="minorHAnsi"/>
        </w:rPr>
        <w:t xml:space="preserve"> </w:t>
      </w:r>
      <w:r w:rsidRPr="003249D9">
        <w:rPr>
          <w:rFonts w:asciiTheme="minorHAnsi" w:hAnsiTheme="minorHAnsi"/>
        </w:rPr>
        <w:t>illetően.</w:t>
      </w:r>
    </w:p>
    <w:p w:rsidR="00BF6ACB" w:rsidRPr="003249D9" w:rsidRDefault="00AB7CFF" w:rsidP="00BF6ACB">
      <w:pPr>
        <w:pStyle w:val="TASTextheading3"/>
        <w:rPr>
          <w:rFonts w:asciiTheme="minorHAnsi" w:hAnsiTheme="minorHAnsi"/>
        </w:rPr>
      </w:pPr>
      <w:r w:rsidRPr="003249D9">
        <w:rPr>
          <w:rFonts w:asciiTheme="minorHAnsi" w:hAnsiTheme="minorHAnsi"/>
        </w:rPr>
        <w:t>Potenciális megoldási lehetőségek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Fejleszteni kellene a bírósági </w:t>
      </w:r>
      <w:r w:rsidR="00037D59">
        <w:rPr>
          <w:rFonts w:asciiTheme="minorHAnsi" w:hAnsiTheme="minorHAnsi"/>
        </w:rPr>
        <w:t>titkárok</w:t>
      </w:r>
      <w:r w:rsidR="00037D59" w:rsidRPr="003249D9">
        <w:rPr>
          <w:rFonts w:asciiTheme="minorHAnsi" w:hAnsiTheme="minorHAnsi"/>
        </w:rPr>
        <w:t xml:space="preserve"> </w:t>
      </w:r>
      <w:r w:rsidRPr="003249D9">
        <w:rPr>
          <w:rFonts w:asciiTheme="minorHAnsi" w:hAnsiTheme="minorHAnsi"/>
        </w:rPr>
        <w:t xml:space="preserve">képzését, hogy a végrehajtási kifogási ügyekkel érdemben foglalkozzanak. Egyértelmű iránymutatást szükséges kidolgozni és köröztetni a bírósági </w:t>
      </w:r>
      <w:r w:rsidR="00037D59">
        <w:rPr>
          <w:rFonts w:asciiTheme="minorHAnsi" w:hAnsiTheme="minorHAnsi"/>
        </w:rPr>
        <w:t>titkárok</w:t>
      </w:r>
      <w:r w:rsidR="00037D59" w:rsidRPr="003249D9">
        <w:rPr>
          <w:rFonts w:asciiTheme="minorHAnsi" w:hAnsiTheme="minorHAnsi"/>
        </w:rPr>
        <w:t xml:space="preserve"> </w:t>
      </w:r>
      <w:r w:rsidRPr="003249D9">
        <w:rPr>
          <w:rFonts w:asciiTheme="minorHAnsi" w:hAnsiTheme="minorHAnsi"/>
        </w:rPr>
        <w:t xml:space="preserve">között a végrehajtási </w:t>
      </w:r>
      <w:proofErr w:type="gramStart"/>
      <w:r w:rsidRPr="003249D9">
        <w:rPr>
          <w:rFonts w:asciiTheme="minorHAnsi" w:hAnsiTheme="minorHAnsi"/>
        </w:rPr>
        <w:t>kifogások</w:t>
      </w:r>
      <w:proofErr w:type="gramEnd"/>
      <w:r w:rsidRPr="003249D9">
        <w:rPr>
          <w:rFonts w:asciiTheme="minorHAnsi" w:hAnsiTheme="minorHAnsi"/>
        </w:rPr>
        <w:t xml:space="preserve"> fő szempontjára és a kapcsolódó gazdasági problémákra vonatkozóan.</w:t>
      </w:r>
    </w:p>
    <w:p w:rsidR="00BF6ACB" w:rsidRPr="003249D9" w:rsidRDefault="00BF6ACB" w:rsidP="00BF6ACB">
      <w:pPr>
        <w:pStyle w:val="TASBullet1"/>
        <w:numPr>
          <w:ilvl w:val="0"/>
          <w:numId w:val="0"/>
        </w:numPr>
        <w:ind w:left="288"/>
        <w:rPr>
          <w:rFonts w:asciiTheme="minorHAnsi" w:hAnsiTheme="minorHAnsi"/>
        </w:rPr>
      </w:pPr>
    </w:p>
    <w:p w:rsidR="00BF6ACB" w:rsidRPr="003249D9" w:rsidRDefault="00AB7CFF" w:rsidP="00BF6ACB">
      <w:pPr>
        <w:pStyle w:val="TASTextheading1"/>
        <w:rPr>
          <w:rFonts w:asciiTheme="minorHAnsi" w:hAnsiTheme="minorHAnsi"/>
        </w:rPr>
      </w:pPr>
      <w:r w:rsidRPr="003249D9">
        <w:rPr>
          <w:rFonts w:asciiTheme="minorHAnsi" w:hAnsiTheme="minorHAnsi"/>
        </w:rPr>
        <w:t>4. FIZETÉSKÉPTELENSÉG</w:t>
      </w:r>
      <w:r w:rsidR="00037D59">
        <w:rPr>
          <w:rFonts w:asciiTheme="minorHAnsi" w:hAnsiTheme="minorHAnsi"/>
        </w:rPr>
        <w:t>ET MEGELŐZŐ</w:t>
      </w:r>
      <w:r w:rsidRPr="003249D9">
        <w:rPr>
          <w:rFonts w:asciiTheme="minorHAnsi" w:hAnsiTheme="minorHAnsi"/>
        </w:rPr>
        <w:t xml:space="preserve"> ELJÁRÁS</w:t>
      </w:r>
      <w:r w:rsidR="004929D4">
        <w:rPr>
          <w:rFonts w:asciiTheme="minorHAnsi" w:hAnsiTheme="minorHAnsi"/>
        </w:rPr>
        <w:t>OK</w:t>
      </w:r>
    </w:p>
    <w:p w:rsidR="00BF6ACB" w:rsidRPr="003249D9" w:rsidRDefault="00AB7CFF" w:rsidP="00BF6ACB">
      <w:pPr>
        <w:pStyle w:val="TASTextheading3"/>
        <w:rPr>
          <w:rFonts w:asciiTheme="minorHAnsi" w:hAnsiTheme="minorHAnsi"/>
        </w:rPr>
      </w:pPr>
      <w:r w:rsidRPr="003249D9">
        <w:rPr>
          <w:rFonts w:asciiTheme="minorHAnsi" w:hAnsiTheme="minorHAnsi"/>
        </w:rPr>
        <w:t>4.1.1. Általános megjegyzések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Tekintettel arra, hogy a csődeljárás elindítása (és ebből következően</w:t>
      </w:r>
      <w:r w:rsidR="00405471">
        <w:rPr>
          <w:rFonts w:asciiTheme="minorHAnsi" w:hAnsiTheme="minorHAnsi"/>
        </w:rPr>
        <w:t xml:space="preserve"> </w:t>
      </w:r>
      <w:r w:rsidRPr="003249D9">
        <w:rPr>
          <w:rFonts w:asciiTheme="minorHAnsi" w:hAnsiTheme="minorHAnsi"/>
        </w:rPr>
        <w:t>"</w:t>
      </w:r>
      <w:proofErr w:type="spellStart"/>
      <w:r w:rsidRPr="003249D9">
        <w:rPr>
          <w:rFonts w:asciiTheme="minorHAnsi" w:hAnsiTheme="minorHAnsi"/>
        </w:rPr>
        <w:t>cs.a</w:t>
      </w:r>
      <w:proofErr w:type="spellEnd"/>
      <w:r w:rsidRPr="003249D9">
        <w:rPr>
          <w:rFonts w:asciiTheme="minorHAnsi" w:hAnsiTheme="minorHAnsi"/>
        </w:rPr>
        <w:t>" megjegyzés megjelenése az adós hivatalos nevében)</w:t>
      </w:r>
      <w:r w:rsidR="00405471">
        <w:rPr>
          <w:rFonts w:asciiTheme="minorHAnsi" w:hAnsiTheme="minorHAnsi"/>
        </w:rPr>
        <w:t xml:space="preserve"> </w:t>
      </w:r>
      <w:r w:rsidRPr="003249D9">
        <w:rPr>
          <w:rFonts w:asciiTheme="minorHAnsi" w:hAnsiTheme="minorHAnsi"/>
        </w:rPr>
        <w:t>Magyarországon rendkívüli megbélyegzésnek számít, mivel nagyon kevés kereskedelmi/üzleti partner lenne kész hosszú távú kapcsolatot fenntartani vagy remélni egy csődeljárás alatt lévő vállalattal, fontolóra vehető egy ezt megelőző és kevésbé szabályozott eljárás bevezetése.</w:t>
      </w:r>
    </w:p>
    <w:p w:rsidR="00BF6ACB" w:rsidRPr="003249D9" w:rsidRDefault="00BF6ACB" w:rsidP="00BF6ACB">
      <w:pPr>
        <w:pStyle w:val="TASBullet1"/>
        <w:numPr>
          <w:ilvl w:val="0"/>
          <w:numId w:val="0"/>
        </w:numPr>
        <w:ind w:left="288"/>
        <w:rPr>
          <w:rFonts w:asciiTheme="minorHAnsi" w:hAnsiTheme="minorHAnsi"/>
        </w:rPr>
      </w:pPr>
    </w:p>
    <w:p w:rsidR="00BF6ACB" w:rsidRPr="003249D9" w:rsidRDefault="00AB7CFF" w:rsidP="00BF6ACB">
      <w:pPr>
        <w:pStyle w:val="TASTextheading3"/>
        <w:rPr>
          <w:rFonts w:asciiTheme="minorHAnsi" w:hAnsiTheme="minorHAnsi"/>
        </w:rPr>
      </w:pPr>
      <w:r w:rsidRPr="003249D9">
        <w:rPr>
          <w:rFonts w:asciiTheme="minorHAnsi" w:hAnsiTheme="minorHAnsi"/>
        </w:rPr>
        <w:t xml:space="preserve">4.1.2. </w:t>
      </w:r>
      <w:proofErr w:type="spellStart"/>
      <w:r w:rsidRPr="003249D9">
        <w:rPr>
          <w:rFonts w:asciiTheme="minorHAnsi" w:hAnsiTheme="minorHAnsi"/>
        </w:rPr>
        <w:t>Afizetésképtelenség</w:t>
      </w:r>
      <w:r w:rsidR="004929D4">
        <w:rPr>
          <w:rFonts w:asciiTheme="minorHAnsi" w:hAnsiTheme="minorHAnsi"/>
        </w:rPr>
        <w:t>et</w:t>
      </w:r>
      <w:proofErr w:type="spellEnd"/>
      <w:r w:rsidR="004929D4">
        <w:rPr>
          <w:rFonts w:asciiTheme="minorHAnsi" w:hAnsiTheme="minorHAnsi"/>
        </w:rPr>
        <w:t xml:space="preserve"> megelőző</w:t>
      </w:r>
      <w:r w:rsidRPr="003249D9">
        <w:rPr>
          <w:rFonts w:asciiTheme="minorHAnsi" w:hAnsiTheme="minorHAnsi"/>
        </w:rPr>
        <w:t xml:space="preserve"> eljárással kapcsolatban felmerülő aggályok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Néhány bank kialakított egy viszonylag jól működő </w:t>
      </w:r>
      <w:proofErr w:type="spellStart"/>
      <w:r w:rsidR="004929D4">
        <w:rPr>
          <w:rFonts w:asciiTheme="minorHAnsi" w:hAnsiTheme="minorHAnsi"/>
        </w:rPr>
        <w:t>restrukturálási</w:t>
      </w:r>
      <w:proofErr w:type="spellEnd"/>
      <w:r w:rsidR="004929D4" w:rsidRPr="003249D9">
        <w:rPr>
          <w:rFonts w:asciiTheme="minorHAnsi" w:hAnsiTheme="minorHAnsi"/>
        </w:rPr>
        <w:t xml:space="preserve"> </w:t>
      </w:r>
      <w:r w:rsidRPr="003249D9">
        <w:rPr>
          <w:rFonts w:asciiTheme="minorHAnsi" w:hAnsiTheme="minorHAnsi"/>
        </w:rPr>
        <w:t xml:space="preserve">rendszert. </w:t>
      </w:r>
      <w:proofErr w:type="spellStart"/>
      <w:r w:rsidRPr="003249D9">
        <w:rPr>
          <w:rFonts w:asciiTheme="minorHAnsi" w:hAnsiTheme="minorHAnsi"/>
        </w:rPr>
        <w:t>A</w:t>
      </w:r>
      <w:r w:rsidR="004929D4">
        <w:rPr>
          <w:rFonts w:asciiTheme="minorHAnsi" w:hAnsiTheme="minorHAnsi"/>
        </w:rPr>
        <w:t>restrukturálás</w:t>
      </w:r>
      <w:proofErr w:type="spellEnd"/>
      <w:r w:rsidR="004929D4" w:rsidRPr="003249D9">
        <w:rPr>
          <w:rFonts w:asciiTheme="minorHAnsi" w:hAnsiTheme="minorHAnsi"/>
        </w:rPr>
        <w:t xml:space="preserve"> </w:t>
      </w:r>
      <w:r w:rsidRPr="003249D9">
        <w:rPr>
          <w:rFonts w:asciiTheme="minorHAnsi" w:hAnsiTheme="minorHAnsi"/>
        </w:rPr>
        <w:t xml:space="preserve">sikere nem feltétlenül múlik azon, hogy arra egy formális eljárás keretében kerül-e sor vagy nem. Sokkal inkább függ az adós és annak tulajdonosainak hozzáállásától. Nevezetesen, ha </w:t>
      </w:r>
      <w:proofErr w:type="gramStart"/>
      <w:r w:rsidRPr="003249D9">
        <w:rPr>
          <w:rFonts w:asciiTheme="minorHAnsi" w:hAnsiTheme="minorHAnsi"/>
        </w:rPr>
        <w:t>a</w:t>
      </w:r>
      <w:proofErr w:type="gramEnd"/>
      <w:r w:rsidRPr="003249D9">
        <w:rPr>
          <w:rFonts w:asciiTheme="minorHAnsi" w:hAnsiTheme="minorHAnsi"/>
        </w:rPr>
        <w:t xml:space="preserve"> felek együttműködőek és jóhiszeműen járnak el, a </w:t>
      </w:r>
      <w:proofErr w:type="spellStart"/>
      <w:r w:rsidR="004929D4">
        <w:rPr>
          <w:rFonts w:asciiTheme="minorHAnsi" w:hAnsiTheme="minorHAnsi"/>
        </w:rPr>
        <w:t>restrukturálás</w:t>
      </w:r>
      <w:proofErr w:type="spellEnd"/>
      <w:r w:rsidR="004929D4" w:rsidRPr="003249D9">
        <w:rPr>
          <w:rFonts w:asciiTheme="minorHAnsi" w:hAnsiTheme="minorHAnsi"/>
        </w:rPr>
        <w:t xml:space="preserve"> </w:t>
      </w:r>
      <w:r w:rsidRPr="003249D9">
        <w:rPr>
          <w:rFonts w:asciiTheme="minorHAnsi" w:hAnsiTheme="minorHAnsi"/>
        </w:rPr>
        <w:t>hivatalos jogi keretek nélkül is működik. Ellenkező esetben a hivatalos eljárás is nagy valószínűséggel sikertelen lenne.</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 fő tényező az, hogy az adós rendelkezik-e valamilyen előzetes üzleti és/vagy átalakítási tervvel, ami azt is magában foglalja, hogy az eljárás során milyen módon kerül finanszírozásra az átstrukturálás és az adós működése. Amennyiben az adós nem rendelkezik olyan szakmai tervvel, amelyre a hitelezők is támaszkodhatnak, akkor nagy valószínűséggel </w:t>
      </w:r>
      <w:proofErr w:type="spellStart"/>
      <w:r w:rsidRPr="003249D9">
        <w:rPr>
          <w:rFonts w:asciiTheme="minorHAnsi" w:hAnsiTheme="minorHAnsi"/>
        </w:rPr>
        <w:t>afizetésképtelenség</w:t>
      </w:r>
      <w:r w:rsidR="004929D4">
        <w:rPr>
          <w:rFonts w:asciiTheme="minorHAnsi" w:hAnsiTheme="minorHAnsi"/>
        </w:rPr>
        <w:t>et</w:t>
      </w:r>
      <w:proofErr w:type="spellEnd"/>
      <w:r w:rsidR="004929D4">
        <w:rPr>
          <w:rFonts w:asciiTheme="minorHAnsi" w:hAnsiTheme="minorHAnsi"/>
        </w:rPr>
        <w:t xml:space="preserve"> megelőző </w:t>
      </w:r>
      <w:r w:rsidRPr="003249D9">
        <w:rPr>
          <w:rFonts w:asciiTheme="minorHAnsi" w:hAnsiTheme="minorHAnsi"/>
        </w:rPr>
        <w:t>eljárás és a mostani csődeljárás is sikertelen lenne.</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Nem csak az adósok és a tulajdonosaik hozzáállását kell megváltoztatni, hanem foglalkozni kell azzal a kérdéssel is, hogy a hitelezők sem bíznak meg egymásban és nem működnek együtt egymással. Az "érkezési sorrendben történő kiszolgálás" elv érvényesülésének minimalizálása érdekében, a bankoknak készek kellene lenniük arra, hogy kötelező és végrehajtható, széles körben alkalmazott és általánosan elfogadott szabályokat dolgozzanak ki és fogadjanak el az adósaik átütemezésében való együttműködésre vonatkozóan, a "</w:t>
      </w:r>
      <w:r w:rsidR="0033123D">
        <w:rPr>
          <w:rFonts w:asciiTheme="minorHAnsi" w:hAnsiTheme="minorHAnsi"/>
        </w:rPr>
        <w:t>B</w:t>
      </w:r>
      <w:r w:rsidRPr="003249D9">
        <w:rPr>
          <w:rFonts w:asciiTheme="minorHAnsi" w:hAnsiTheme="minorHAnsi"/>
        </w:rPr>
        <w:t>udapest</w:t>
      </w:r>
      <w:r w:rsidR="0033123D">
        <w:rPr>
          <w:rFonts w:asciiTheme="minorHAnsi" w:hAnsiTheme="minorHAnsi"/>
        </w:rPr>
        <w:t xml:space="preserve"> Elvek</w:t>
      </w:r>
      <w:r w:rsidRPr="003249D9">
        <w:rPr>
          <w:rFonts w:asciiTheme="minorHAnsi" w:hAnsiTheme="minorHAnsi"/>
        </w:rPr>
        <w:t>" mellett</w:t>
      </w:r>
      <w:r w:rsidR="0033123D">
        <w:rPr>
          <w:rFonts w:asciiTheme="minorHAnsi" w:hAnsiTheme="minorHAnsi"/>
        </w:rPr>
        <w:t>.</w:t>
      </w:r>
      <w:r w:rsidRPr="003249D9">
        <w:rPr>
          <w:rStyle w:val="FootnoteReference"/>
          <w:rFonts w:asciiTheme="minorHAnsi" w:hAnsiTheme="minorHAnsi"/>
        </w:rPr>
        <w:footnoteReference w:id="8"/>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hitelezők magas száma csökkentheti a fizetésképtelenség</w:t>
      </w:r>
      <w:r w:rsidR="0033123D">
        <w:rPr>
          <w:rFonts w:asciiTheme="minorHAnsi" w:hAnsiTheme="minorHAnsi"/>
        </w:rPr>
        <w:t>et megelőző</w:t>
      </w:r>
      <w:r w:rsidRPr="003249D9">
        <w:rPr>
          <w:rFonts w:asciiTheme="minorHAnsi" w:hAnsiTheme="minorHAnsi"/>
        </w:rPr>
        <w:t xml:space="preserve"> eljárás hatékonyságát. Emellett meg kell jegyezni, hogy a hitelezők összetétele rendkívül változatos, és magában foglalhat állami hatóságokat, kis szállítókat, valamint biztosítékkal fedezett kereskedelmi bankokat. Dániában és Franciaországban például csak azok a hitelezők szavazatnak, akiknek a követelését érinti a </w:t>
      </w:r>
      <w:proofErr w:type="spellStart"/>
      <w:r w:rsidRPr="003249D9">
        <w:rPr>
          <w:rFonts w:asciiTheme="minorHAnsi" w:hAnsiTheme="minorHAnsi"/>
        </w:rPr>
        <w:t>restrukturálási</w:t>
      </w:r>
      <w:proofErr w:type="spellEnd"/>
      <w:r w:rsidRPr="003249D9">
        <w:rPr>
          <w:rFonts w:asciiTheme="minorHAnsi" w:hAnsiTheme="minorHAnsi"/>
        </w:rPr>
        <w:t xml:space="preserve"> terv vagy döntés. Írországban, ha a hitelezők legalább egy osztálya jóváhagyja a tervet, akkor azt a bíróság kötelezően előírhatja az összes többi osztály számára, ideértve a biztosítékkal fedezett hitelezőket és azokat is, akik a terv ellen szavaztak, feltéve, hogy a terv nem méltánytalanul hátrányos egyetlen hitelező vagy hitelezői osztály számára sem. </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Általánosságban az érintett felek úgy vélik, hogy a fizetésképtelenségi eljárás</w:t>
      </w:r>
      <w:r w:rsidR="0033123D">
        <w:rPr>
          <w:rFonts w:asciiTheme="minorHAnsi" w:hAnsiTheme="minorHAnsi"/>
        </w:rPr>
        <w:t>ok</w:t>
      </w:r>
      <w:r w:rsidRPr="003249D9">
        <w:rPr>
          <w:rFonts w:asciiTheme="minorHAnsi" w:hAnsiTheme="minorHAnsi"/>
        </w:rPr>
        <w:t xml:space="preserve"> jelenlegi törvényi kerete alapvetően elfogadható, és nem különösebben támogatják egy új hivatalos eljárás bevezetését a törvényi keretrendszerben. Ehelyett </w:t>
      </w:r>
      <w:r w:rsidRPr="003249D9">
        <w:rPr>
          <w:rFonts w:asciiTheme="minorHAnsi" w:hAnsiTheme="minorHAnsi"/>
        </w:rPr>
        <w:lastRenderedPageBreak/>
        <w:t xml:space="preserve">úgy gondolják, hogy sokkal hatékonyabb és kívánatosabb lenne a meglévő jogi keretek jobb gyakorlati alkalmazásának elősegítése és visszaélések csökkentése. </w:t>
      </w:r>
    </w:p>
    <w:p w:rsidR="00BF6ACB" w:rsidRPr="003249D9" w:rsidRDefault="00AB7CFF" w:rsidP="00BF6ACB">
      <w:pPr>
        <w:pStyle w:val="TASTextheading3"/>
        <w:rPr>
          <w:rFonts w:asciiTheme="minorHAnsi" w:hAnsiTheme="minorHAnsi"/>
        </w:rPr>
      </w:pPr>
      <w:r w:rsidRPr="003249D9">
        <w:rPr>
          <w:rFonts w:asciiTheme="minorHAnsi" w:hAnsiTheme="minorHAnsi"/>
        </w:rPr>
        <w:t>4.1.3. Potenciális megoldási lehetőségek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legnagyobb tapasztalattal rendelkező megkérdezett csődbírák támogatják, hogy Magyarországon bevezetésre kerüljön egy hivatalos</w:t>
      </w:r>
      <w:r w:rsidR="0033123D">
        <w:rPr>
          <w:rFonts w:asciiTheme="minorHAnsi" w:hAnsiTheme="minorHAnsi"/>
        </w:rPr>
        <w:t xml:space="preserve">, a </w:t>
      </w:r>
      <w:r w:rsidRPr="003249D9">
        <w:rPr>
          <w:rFonts w:asciiTheme="minorHAnsi" w:hAnsiTheme="minorHAnsi"/>
        </w:rPr>
        <w:t>fizetésképtelenség</w:t>
      </w:r>
      <w:r w:rsidR="0033123D">
        <w:rPr>
          <w:rFonts w:asciiTheme="minorHAnsi" w:hAnsiTheme="minorHAnsi"/>
        </w:rPr>
        <w:t>et megelőző</w:t>
      </w:r>
      <w:r w:rsidRPr="003249D9">
        <w:rPr>
          <w:rFonts w:asciiTheme="minorHAnsi" w:hAnsiTheme="minorHAnsi"/>
        </w:rPr>
        <w:t xml:space="preserve"> eljárás. A törvényhozói testület kiindulásként fontolóra vehetné a polgári perrendtartásról szóló törvényben az "egyezségi kísérletre idézés" elnevezésű fogalmat. </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Körültekintően kell mérlegelni, hogy a hivatalos</w:t>
      </w:r>
      <w:r w:rsidR="00871F38">
        <w:rPr>
          <w:rFonts w:asciiTheme="minorHAnsi" w:hAnsiTheme="minorHAnsi"/>
        </w:rPr>
        <w:t xml:space="preserve">, </w:t>
      </w:r>
      <w:proofErr w:type="spellStart"/>
      <w:r w:rsidR="00871F38">
        <w:rPr>
          <w:rFonts w:asciiTheme="minorHAnsi" w:hAnsiTheme="minorHAnsi"/>
        </w:rPr>
        <w:t>a</w:t>
      </w:r>
      <w:r w:rsidRPr="003249D9">
        <w:rPr>
          <w:rFonts w:asciiTheme="minorHAnsi" w:hAnsiTheme="minorHAnsi"/>
        </w:rPr>
        <w:t>fizetésképtelenség</w:t>
      </w:r>
      <w:r w:rsidR="00871F38">
        <w:rPr>
          <w:rFonts w:asciiTheme="minorHAnsi" w:hAnsiTheme="minorHAnsi"/>
        </w:rPr>
        <w:t>et</w:t>
      </w:r>
      <w:proofErr w:type="spellEnd"/>
      <w:r w:rsidR="00871F38">
        <w:rPr>
          <w:rFonts w:asciiTheme="minorHAnsi" w:hAnsiTheme="minorHAnsi"/>
        </w:rPr>
        <w:t xml:space="preserve"> megelőző</w:t>
      </w:r>
      <w:r w:rsidRPr="003249D9">
        <w:rPr>
          <w:rFonts w:asciiTheme="minorHAnsi" w:hAnsiTheme="minorHAnsi"/>
        </w:rPr>
        <w:t xml:space="preserve"> eljárást célszerű-e nyilvánosságra hozni. Amennyiben az nyilvánossá válik, annak "megbélyegző" hatása nagy valószínűséggel ugyanolyan lenne, mint a csődeljárás esetén, és szállítók és megbízók elvesztése már a fizetésképtelenség</w:t>
      </w:r>
      <w:r w:rsidR="00871F38">
        <w:rPr>
          <w:rFonts w:asciiTheme="minorHAnsi" w:hAnsiTheme="minorHAnsi"/>
        </w:rPr>
        <w:t>et megelőző</w:t>
      </w:r>
      <w:r w:rsidRPr="003249D9">
        <w:rPr>
          <w:rFonts w:asciiTheme="minorHAnsi" w:hAnsiTheme="minorHAnsi"/>
        </w:rPr>
        <w:t xml:space="preserve"> eljárás során is végzetes lehet. Néhány joghatóságban, mint például Franciaországban, a fizetésképtelenség</w:t>
      </w:r>
      <w:r w:rsidR="00871F38">
        <w:rPr>
          <w:rFonts w:asciiTheme="minorHAnsi" w:hAnsiTheme="minorHAnsi"/>
        </w:rPr>
        <w:t>et megelőző</w:t>
      </w:r>
      <w:r w:rsidRPr="003249D9">
        <w:rPr>
          <w:rFonts w:asciiTheme="minorHAnsi" w:hAnsiTheme="minorHAnsi"/>
        </w:rPr>
        <w:t xml:space="preserve"> eljárás bizonyos típusait bizalmasan kezelik.</w:t>
      </w:r>
      <w:r w:rsidRPr="003249D9">
        <w:rPr>
          <w:rStyle w:val="FootnoteReference"/>
          <w:rFonts w:asciiTheme="minorHAnsi" w:hAnsiTheme="minorHAnsi"/>
        </w:rPr>
        <w:footnoteReference w:id="9"/>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Egyes EU joghatóságok szintén hasznos példával szolgálhatnak a magyarországi</w:t>
      </w:r>
      <w:proofErr w:type="gramStart"/>
      <w:r w:rsidR="00871F38">
        <w:rPr>
          <w:rFonts w:asciiTheme="minorHAnsi" w:hAnsiTheme="minorHAnsi"/>
        </w:rPr>
        <w:t>,</w:t>
      </w:r>
      <w:r w:rsidRPr="003249D9">
        <w:rPr>
          <w:rFonts w:asciiTheme="minorHAnsi" w:hAnsiTheme="minorHAnsi"/>
        </w:rPr>
        <w:t>fizetésképtelenség</w:t>
      </w:r>
      <w:r w:rsidR="00871F38">
        <w:rPr>
          <w:rFonts w:asciiTheme="minorHAnsi" w:hAnsiTheme="minorHAnsi"/>
        </w:rPr>
        <w:t>et</w:t>
      </w:r>
      <w:proofErr w:type="gramEnd"/>
      <w:r w:rsidR="00871F38">
        <w:rPr>
          <w:rFonts w:asciiTheme="minorHAnsi" w:hAnsiTheme="minorHAnsi"/>
        </w:rPr>
        <w:t xml:space="preserve"> megelőző</w:t>
      </w:r>
      <w:r w:rsidRPr="003249D9">
        <w:rPr>
          <w:rFonts w:asciiTheme="minorHAnsi" w:hAnsiTheme="minorHAnsi"/>
        </w:rPr>
        <w:t xml:space="preserve"> eljárás hatókörének fontolóra vétele során. Ilyenek például a következők:</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b/>
        </w:rPr>
        <w:t>Németországban</w:t>
      </w:r>
      <w:r w:rsidRPr="003249D9">
        <w:rPr>
          <w:rFonts w:asciiTheme="minorHAnsi" w:hAnsiTheme="minorHAnsi"/>
        </w:rPr>
        <w:t xml:space="preserve"> 2012-ben, a fizetésképtelenségi törvények megreformálását követően, bevezetésre került a fizetésképtelenség</w:t>
      </w:r>
      <w:r w:rsidR="00871F38">
        <w:rPr>
          <w:rFonts w:asciiTheme="minorHAnsi" w:hAnsiTheme="minorHAnsi"/>
        </w:rPr>
        <w:t>et megelőző</w:t>
      </w:r>
      <w:r w:rsidRPr="003249D9">
        <w:rPr>
          <w:rFonts w:asciiTheme="minorHAnsi" w:hAnsiTheme="minorHAnsi"/>
        </w:rPr>
        <w:t xml:space="preserve"> eljárás, ami a fizetésképtelenségi eljárás iránti kérelem benyújtása és az eljárás tényleges megindítása között vehető igénybe. Amennyiben egy adós likviditáshiány vagy túlzott eladósodottság miatt kérelmet nyújt be a fizetésképtelenségi eljárás megindítása iránt és kéri a saját gondokság fenntartását is, a csődbíróság maximum három hónapot biztosíthat az adós számára, amely során az köteles kidolgozni egy részletes adósságrendezési tervet. Az adós kérelmére a bíróság ezen időszakra elrendelheti a végrehajtási eljárások tilalmát vagy szüneteltetését. A fizetésképtelenség</w:t>
      </w:r>
      <w:r w:rsidR="00150336">
        <w:rPr>
          <w:rFonts w:asciiTheme="minorHAnsi" w:hAnsiTheme="minorHAnsi"/>
        </w:rPr>
        <w:t>et megelőző</w:t>
      </w:r>
      <w:r w:rsidRPr="003249D9">
        <w:rPr>
          <w:rFonts w:asciiTheme="minorHAnsi" w:hAnsiTheme="minorHAnsi"/>
        </w:rPr>
        <w:t xml:space="preserve"> eljárás során a csődbíróság és a bíróság által kirendelt vagyonfelügyelő csak felügyeli az adóst. Mindazonáltal, az eljárás megszakítható a határidő lejárta előtt, ha a terv megvalósíthatatlanná válik vagy az előzetes hitelezői bizottság így dönt (ha nincs </w:t>
      </w:r>
      <w:proofErr w:type="spellStart"/>
      <w:r w:rsidRPr="003249D9">
        <w:rPr>
          <w:rFonts w:asciiTheme="minorHAnsi" w:hAnsiTheme="minorHAnsi"/>
        </w:rPr>
        <w:t>lyen</w:t>
      </w:r>
      <w:proofErr w:type="spellEnd"/>
      <w:r w:rsidRPr="003249D9">
        <w:rPr>
          <w:rFonts w:asciiTheme="minorHAnsi" w:hAnsiTheme="minorHAnsi"/>
        </w:rPr>
        <w:t xml:space="preserve"> bizottság, akkor minden egyes hitelező jogosult folyamodványt benyújtani a terv ellen).</w:t>
      </w:r>
      <w:r w:rsidR="00405471">
        <w:rPr>
          <w:rFonts w:asciiTheme="minorHAnsi" w:hAnsiTheme="minorHAnsi"/>
        </w:rPr>
        <w:t xml:space="preserve"> </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Az </w:t>
      </w:r>
      <w:r w:rsidRPr="003249D9">
        <w:rPr>
          <w:rFonts w:asciiTheme="minorHAnsi" w:hAnsiTheme="minorHAnsi"/>
          <w:b/>
        </w:rPr>
        <w:t>Egyesült Királyságban</w:t>
      </w:r>
      <w:r w:rsidRPr="003249D9">
        <w:rPr>
          <w:rFonts w:asciiTheme="minorHAnsi" w:hAnsiTheme="minorHAnsi"/>
        </w:rPr>
        <w:t xml:space="preserve"> az egyezségi terv (</w:t>
      </w:r>
      <w:proofErr w:type="spellStart"/>
      <w:r w:rsidRPr="003249D9">
        <w:rPr>
          <w:rFonts w:asciiTheme="minorHAnsi" w:hAnsiTheme="minorHAnsi"/>
        </w:rPr>
        <w:t>Terv</w:t>
      </w:r>
      <w:proofErr w:type="spellEnd"/>
      <w:r w:rsidRPr="003249D9">
        <w:rPr>
          <w:rFonts w:asciiTheme="minorHAnsi" w:hAnsiTheme="minorHAnsi"/>
        </w:rPr>
        <w:t>) mechanizmusa lehetővé teszi a vállalat számára, hogy</w:t>
      </w:r>
      <w:r w:rsidR="00405471">
        <w:rPr>
          <w:rFonts w:asciiTheme="minorHAnsi" w:hAnsiTheme="minorHAnsi"/>
        </w:rPr>
        <w:t xml:space="preserve"> </w:t>
      </w:r>
      <w:r w:rsidRPr="003249D9">
        <w:rPr>
          <w:rFonts w:asciiTheme="minorHAnsi" w:hAnsiTheme="minorHAnsi"/>
        </w:rPr>
        <w:t xml:space="preserve">megállapodjon / egyezséget kössön a hitelezőivel (vagy azok bármely osztályával), ami – az érintett hitelezők szükséges többsége általi jóváhagyása és a bíróság általi szentesítése esetén – </w:t>
      </w:r>
      <w:proofErr w:type="spellStart"/>
      <w:r w:rsidRPr="003249D9">
        <w:rPr>
          <w:rFonts w:asciiTheme="minorHAnsi" w:hAnsiTheme="minorHAnsi"/>
        </w:rPr>
        <w:t>mindannyiukra</w:t>
      </w:r>
      <w:proofErr w:type="spellEnd"/>
      <w:r w:rsidRPr="003249D9">
        <w:rPr>
          <w:rFonts w:asciiTheme="minorHAnsi" w:hAnsiTheme="minorHAnsi"/>
        </w:rPr>
        <w:t xml:space="preserve"> nézve kötelezővé válik, függetlenül attól, hogy mellette vagy ellene szavaztak. A hitelezőket csak akkor köti a Terv, ha azt a hitelezők</w:t>
      </w:r>
      <w:r w:rsidR="00405471">
        <w:rPr>
          <w:rFonts w:asciiTheme="minorHAnsi" w:hAnsiTheme="minorHAnsi"/>
        </w:rPr>
        <w:t xml:space="preserve"> </w:t>
      </w:r>
      <w:r w:rsidRPr="003249D9">
        <w:rPr>
          <w:rFonts w:asciiTheme="minorHAnsi" w:hAnsiTheme="minorHAnsi"/>
        </w:rPr>
        <w:t>vagy – ha a Terv egynél több hitelezői osztályt érint – minden egyes hitelezői osztály jóváhagyja a bíróság által összehívott ülésen. A jóváhagyáshoz (osztályonként) legalább</w:t>
      </w:r>
      <w:r w:rsidR="00405471">
        <w:rPr>
          <w:rFonts w:asciiTheme="minorHAnsi" w:hAnsiTheme="minorHAnsi"/>
        </w:rPr>
        <w:t xml:space="preserve"> </w:t>
      </w:r>
      <w:r w:rsidRPr="003249D9">
        <w:rPr>
          <w:rFonts w:asciiTheme="minorHAnsi" w:hAnsiTheme="minorHAnsi"/>
        </w:rPr>
        <w:t>jelenlévő hitelezők által képviselt érték 75%-ának támogatása szükséges és szavazáshoz kötött. Meg kell említeni azonban, hogy ez egy társasági törvényi eszköz, ami a fizetésképtelen vagy nehézségekkel küzdő adóssal kapcsolatban alkalmazható.</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w:t>
      </w:r>
      <w:r w:rsidRPr="003249D9">
        <w:rPr>
          <w:rFonts w:asciiTheme="minorHAnsi" w:hAnsiTheme="minorHAnsi"/>
          <w:b/>
        </w:rPr>
        <w:t>spanyol</w:t>
      </w:r>
      <w:r w:rsidRPr="003249D9">
        <w:rPr>
          <w:rFonts w:asciiTheme="minorHAnsi" w:hAnsiTheme="minorHAnsi"/>
        </w:rPr>
        <w:t xml:space="preserve"> fizetésképtelenségi törvény utolsó átfogó reformja, ami 2012 januárjában lépett hatályba, az angol egyezségi tervhez hasonló mechanizmust vezetett be. Az adós vállalat számára lehetőséget biztosít, hogy kérje a bíróságtól, hogy írja elő az összes, biztosítékkal nem fedezett, különvéleményt képviselő vagy a megállapodást alá nem író pénzintézet számára a megállapodás megkötésekor az adós kötelezettségeinek legalább 75%-át pénzügyi hitelezőknél tartó többi pénzintézet által megkötött refinanszírozási megállapodás bizonyos rendelkezéseit (alapvetően a kialkudott futamidő-hosszabbítást), feltéve, hogy az nem ró "aránytalan áldozatvállalást a különvéleményt képviselő pénzintézetek számára. </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francia csődvédelmi eljárás (</w:t>
      </w:r>
      <w:proofErr w:type="spellStart"/>
      <w:r w:rsidRPr="003249D9">
        <w:rPr>
          <w:rFonts w:asciiTheme="minorHAnsi" w:hAnsiTheme="minorHAnsi"/>
          <w:i/>
        </w:rPr>
        <w:t>procédure</w:t>
      </w:r>
      <w:proofErr w:type="spellEnd"/>
      <w:r w:rsidRPr="003249D9">
        <w:rPr>
          <w:rFonts w:asciiTheme="minorHAnsi" w:hAnsiTheme="minorHAnsi"/>
          <w:i/>
        </w:rPr>
        <w:t xml:space="preserve"> de </w:t>
      </w:r>
      <w:proofErr w:type="spellStart"/>
      <w:r w:rsidRPr="003249D9">
        <w:rPr>
          <w:rFonts w:asciiTheme="minorHAnsi" w:hAnsiTheme="minorHAnsi"/>
          <w:i/>
        </w:rPr>
        <w:t>sauvegarde</w:t>
      </w:r>
      <w:proofErr w:type="spellEnd"/>
      <w:r w:rsidRPr="003249D9">
        <w:rPr>
          <w:rFonts w:asciiTheme="minorHAnsi" w:hAnsiTheme="minorHAnsi"/>
        </w:rPr>
        <w:t>) célja, hogy képessé tegye a vállalatot a tevékenysége folytatására, a munkahelyek megőrzésére és a kötelezettségei teljesítésére a vállalat bírósági felügyelet melletti átszervezése útján.</w:t>
      </w:r>
      <w:r w:rsidR="00405471">
        <w:rPr>
          <w:rFonts w:asciiTheme="minorHAnsi" w:hAnsiTheme="minorHAnsi"/>
        </w:rPr>
        <w:t xml:space="preserve"> </w:t>
      </w:r>
      <w:r w:rsidRPr="003249D9">
        <w:rPr>
          <w:rFonts w:asciiTheme="minorHAnsi" w:hAnsiTheme="minorHAnsi"/>
        </w:rPr>
        <w:t xml:space="preserve">Azonban, ez a modell meglehetősen hitelezőellenesnek tekinthető a fenti egyéb példákhoz képest. </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Horvátországban bevezetésre került egy új, csődeljárást megelőző egyezségi rendszer, ami 2012 októberében lépett hatályba, amely célja, hogy helyreállítsa a fizetésképtelen adósok üzletmenetét és a hitelezőkkel kedvezőbb elszámolási feltételeket érjen el, mint egy csődeljárásban. Ezt a modellt azonban heves kritikák érték és most éppen negyedszer készülnek megreformálni.</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Bár újdonsága miatt még nem áll rendelkezésre jelentős gyakorlati tapasztalat, az új szlovén fizetésképtelenségi törvény (amit 2013 végén fogadtak el) szintén hasznos példának bizonyulhat. Ez a törvény egy új, megelőző jellegű </w:t>
      </w:r>
      <w:proofErr w:type="spellStart"/>
      <w:r w:rsidRPr="003249D9">
        <w:rPr>
          <w:rFonts w:asciiTheme="minorHAnsi" w:hAnsiTheme="minorHAnsi"/>
        </w:rPr>
        <w:t>restrukturálási</w:t>
      </w:r>
      <w:proofErr w:type="spellEnd"/>
      <w:r w:rsidRPr="003249D9">
        <w:rPr>
          <w:rFonts w:asciiTheme="minorHAnsi" w:hAnsiTheme="minorHAnsi"/>
        </w:rPr>
        <w:t xml:space="preserve"> eljárást szabályoz, amit annak érdekében kell lefolytatni, hogy az adós képes legyen meghozni bizonyos intézkedéseket a pénzügyi kötelezettségeinek kizárólag a pénzügyi hitelezőkkel (és nem a kereskedelmi hitelezőkkel) </w:t>
      </w:r>
      <w:r w:rsidRPr="003249D9">
        <w:rPr>
          <w:rFonts w:asciiTheme="minorHAnsi" w:hAnsiTheme="minorHAnsi"/>
        </w:rPr>
        <w:lastRenderedPageBreak/>
        <w:t>történő átütemezése érdekében egy pénzügyi átütemezési megállapodás alapján, amit többnyire a bíróság bevonása nélkül kötnek.</w:t>
      </w:r>
    </w:p>
    <w:p w:rsidR="00BF6ACB" w:rsidRPr="003249D9" w:rsidRDefault="00BF6ACB" w:rsidP="00BF6ACB">
      <w:pPr>
        <w:pStyle w:val="TASBullet1"/>
        <w:numPr>
          <w:ilvl w:val="0"/>
          <w:numId w:val="0"/>
        </w:numPr>
        <w:ind w:left="288"/>
        <w:rPr>
          <w:rFonts w:asciiTheme="minorHAnsi" w:hAnsiTheme="minorHAnsi"/>
        </w:rPr>
      </w:pPr>
    </w:p>
    <w:p w:rsidR="00BF6ACB" w:rsidRPr="003249D9" w:rsidRDefault="00AB7CFF" w:rsidP="00BF6ACB">
      <w:pPr>
        <w:pStyle w:val="TASTextheading1"/>
        <w:rPr>
          <w:rFonts w:asciiTheme="minorHAnsi" w:hAnsiTheme="minorHAnsi"/>
        </w:rPr>
      </w:pPr>
      <w:r w:rsidRPr="003249D9">
        <w:rPr>
          <w:rFonts w:asciiTheme="minorHAnsi" w:hAnsiTheme="minorHAnsi"/>
        </w:rPr>
        <w:t xml:space="preserve">5. A CSŐDELJÁRÁS </w:t>
      </w:r>
      <w:proofErr w:type="gramStart"/>
      <w:r w:rsidRPr="003249D9">
        <w:rPr>
          <w:rFonts w:asciiTheme="minorHAnsi" w:hAnsiTheme="minorHAnsi"/>
        </w:rPr>
        <w:t>ÉS</w:t>
      </w:r>
      <w:proofErr w:type="gramEnd"/>
      <w:r w:rsidRPr="003249D9">
        <w:rPr>
          <w:rFonts w:asciiTheme="minorHAnsi" w:hAnsiTheme="minorHAnsi"/>
        </w:rPr>
        <w:t xml:space="preserve"> A FELSZÁMOLÁSI ELJÁRÁS KÖZÖS PONTJAI</w:t>
      </w:r>
    </w:p>
    <w:p w:rsidR="00BF6ACB" w:rsidRPr="003249D9" w:rsidRDefault="00AB7CFF" w:rsidP="00BF6ACB">
      <w:pPr>
        <w:pStyle w:val="TASTextheading3"/>
        <w:rPr>
          <w:rFonts w:asciiTheme="minorHAnsi" w:hAnsiTheme="minorHAnsi"/>
        </w:rPr>
      </w:pPr>
      <w:r w:rsidRPr="003249D9">
        <w:rPr>
          <w:rFonts w:asciiTheme="minorHAnsi" w:hAnsiTheme="minorHAnsi"/>
        </w:rPr>
        <w:t>5.1.1. Vagyonfelügyelők és felszámolók kinevezése</w:t>
      </w:r>
      <w:r w:rsidR="00EA6E81">
        <w:rPr>
          <w:rStyle w:val="FootnoteReference"/>
          <w:rFonts w:asciiTheme="minorHAnsi" w:hAnsiTheme="minorHAnsi"/>
        </w:rPr>
        <w:footnoteReference w:id="10"/>
      </w:r>
    </w:p>
    <w:p w:rsidR="00BF6ACB" w:rsidRPr="003249D9" w:rsidRDefault="00AB7CFF" w:rsidP="00BF6ACB">
      <w:pPr>
        <w:pStyle w:val="TASTextheading3"/>
        <w:rPr>
          <w:rFonts w:asciiTheme="minorHAnsi" w:hAnsiTheme="minorHAnsi"/>
        </w:rPr>
      </w:pPr>
      <w:r w:rsidRPr="003249D9">
        <w:rPr>
          <w:rFonts w:asciiTheme="minorHAnsi" w:hAnsiTheme="minorHAnsi"/>
        </w:rPr>
        <w:t>Gyakorlati jogi problémák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Az elektronikus rendszer használatával történő véletlenszerű kinevezési gyakorlat általában azért problémás, mert nem ösztönzi a szolgáltatások versengését (és a magasabb teljesítményt) és azon a feltételezésen nyugszik, hogy az összes vagyonfelügyelő/felszámoló egyformán hozzáértő és megfelelő minden fizetésképtelenségi ügyhöz. </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véletlenszerű elektronikus kinevezési rendszer bevezetése a következő sajnálatos következményekkel járt: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Korábban a bíróságok rendszeresen </w:t>
      </w:r>
      <w:r w:rsidR="00E642C7">
        <w:rPr>
          <w:rFonts w:asciiTheme="minorHAnsi" w:hAnsiTheme="minorHAnsi"/>
        </w:rPr>
        <w:t xml:space="preserve">egyeztettek </w:t>
      </w:r>
      <w:r w:rsidRPr="003249D9">
        <w:rPr>
          <w:rFonts w:asciiTheme="minorHAnsi" w:hAnsiTheme="minorHAnsi"/>
        </w:rPr>
        <w:t>a vagyonfelügyelőkről/felszámolókról, amikor a bíráknak alkalmuk volt megosztani egymással tapasztalataikat. E tekintetben negyedévente szavazást is tartottak. A véletlenszerű elektronikus rendszer bevezetésével ezek a lehetőségek értéküket veszítették. Azonban, minden egyes érdekelt fél, ideértve a –</w:t>
      </w:r>
      <w:r w:rsidRPr="003249D9">
        <w:tab/>
      </w:r>
      <w:r w:rsidRPr="003249D9">
        <w:rPr>
          <w:rFonts w:asciiTheme="minorHAnsi" w:hAnsiTheme="minorHAnsi"/>
        </w:rPr>
        <w:t>Felszámolók és Vagyonfelügyelők Országos Egyesületét – megerősítette, hogy a bíróságok és a hitelezők visszacsatolása kiemelkedő fontossággal bírna.</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Egyes vagyonfelügyelők/felszámolók motiváltsága oly mértékben csökkent, hogy egyetlen céljuk a </w:t>
      </w:r>
      <w:r w:rsidR="00E642C7">
        <w:rPr>
          <w:rFonts w:asciiTheme="minorHAnsi" w:hAnsiTheme="minorHAnsi"/>
        </w:rPr>
        <w:t>C</w:t>
      </w:r>
      <w:r w:rsidRPr="003249D9">
        <w:rPr>
          <w:rFonts w:asciiTheme="minorHAnsi" w:hAnsiTheme="minorHAnsi"/>
        </w:rPr>
        <w:t xml:space="preserve">sődtörvénynek való minimális szintű megfelelés, ami még lehetővé teszi az olyan nagyobb súlyú hibák elkerülését, ami a </w:t>
      </w:r>
      <w:r w:rsidR="00E642C7">
        <w:rPr>
          <w:rFonts w:asciiTheme="minorHAnsi" w:hAnsiTheme="minorHAnsi"/>
        </w:rPr>
        <w:t>felmentésüket</w:t>
      </w:r>
      <w:r w:rsidR="00E642C7" w:rsidRPr="003249D9">
        <w:rPr>
          <w:rFonts w:asciiTheme="minorHAnsi" w:hAnsiTheme="minorHAnsi"/>
        </w:rPr>
        <w:t xml:space="preserve"> </w:t>
      </w:r>
      <w:r w:rsidRPr="003249D9">
        <w:rPr>
          <w:rFonts w:asciiTheme="minorHAnsi" w:hAnsiTheme="minorHAnsi"/>
        </w:rPr>
        <w:t>eredményezné. Ehelyett ösztönözni kellene őket, hogy minden tekintetben a legmagasabb szakmai színvonalon végezzék a munkájukat.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hitelezők úgy vélik, hogy jogosultságot kellene kapniuk a részvételre a vagyonfelügyelők/felszámolók kinevezésében. A Felszámolók és Vagyonfelügyelők Országos Egyesülete is támogatná ezt az ötletet, mivel úgy vélik, hogy ily módon rendszeres visszajelzést kaphatnának a munkájukról.</w:t>
      </w:r>
    </w:p>
    <w:p w:rsidR="00BF6ACB" w:rsidRPr="003249D9" w:rsidRDefault="00AB7CFF" w:rsidP="00BF6ACB">
      <w:pPr>
        <w:pStyle w:val="TASTextheading3"/>
        <w:rPr>
          <w:rFonts w:asciiTheme="minorHAnsi" w:hAnsiTheme="minorHAnsi"/>
        </w:rPr>
      </w:pPr>
      <w:r w:rsidRPr="003249D9">
        <w:rPr>
          <w:rFonts w:asciiTheme="minorHAnsi" w:hAnsiTheme="minorHAnsi"/>
        </w:rPr>
        <w:t>Potenciális megoldási lehetőségek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jelenlegi kinevezési rendszert mindenképpen felül kellene vizsgálni annak érdekében, hogy a hitelezőknek több lehetősége legyen visszajelzést adni. Egy pillantást vetve a fizetésképtelenség külföldi törvényi szabályozására, számos lehetséges modell figyelhető meg a vagyonfelügyelők/felszámolók kinevezése tekintetében:</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Számos országban (pl. Franciaországban, Spanyolországban, Fehéroroszországban, Bosznia-Hercegovinában, Lengyelországban) gyakorlatilag egyedül a bíróság rendelkezik felhatalmazással a vagyonfelügyelő/felszámoló kiválasztására és kinevezésére. Az említett joghatóságban a hitelezők korlátozott jogosultsággal rendelkeznek a vagyonfelügyelő/felszámoló cseréjének kérése terén. A vagyonfelügyelő/felszámoló leváltásának oka az etikai vétségre és a kötelességszegésre korlátozódik.</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Néhány országban (pl. Horvátországban és Lettországban) nem a bíróság, hanem egy állami testület vagy hivatal játszik elsődleges szerepet a vagyonfelügyelő/felszámoló kinevezésében.</w:t>
      </w:r>
    </w:p>
    <w:p w:rsidR="00BF6ACB" w:rsidRDefault="00AB7CFF" w:rsidP="009A73FD">
      <w:pPr>
        <w:pStyle w:val="TASBullet2"/>
        <w:numPr>
          <w:ilvl w:val="1"/>
          <w:numId w:val="46"/>
        </w:numPr>
        <w:rPr>
          <w:rFonts w:asciiTheme="minorHAnsi" w:hAnsiTheme="minorHAnsi"/>
        </w:rPr>
      </w:pPr>
      <w:r w:rsidRPr="003249D9">
        <w:rPr>
          <w:rFonts w:asciiTheme="minorHAnsi" w:hAnsiTheme="minorHAnsi"/>
        </w:rPr>
        <w:t>Más fizetésképtelenségi jogrendszerekben (pl. Macedónia Volt Jugoszláv Köztársaság, Szerbia, Szlovák Köztársaság, Szlovénia és Ukrajna) bevezettek egy automatizált véletlenszerű vagyonfelügyelő/felszámoló kinevezési rendszert.</w:t>
      </w:r>
    </w:p>
    <w:p w:rsidR="00402EA8" w:rsidRPr="003249D9" w:rsidRDefault="0077236B" w:rsidP="009A73FD">
      <w:pPr>
        <w:pStyle w:val="TASBullet2"/>
        <w:numPr>
          <w:ilvl w:val="1"/>
          <w:numId w:val="46"/>
        </w:numPr>
        <w:rPr>
          <w:rFonts w:asciiTheme="minorHAnsi" w:hAnsiTheme="minorHAnsi"/>
        </w:rPr>
      </w:pPr>
      <w:r>
        <w:rPr>
          <w:rFonts w:asciiTheme="minorHAnsi" w:hAnsiTheme="minorHAnsi"/>
        </w:rPr>
        <w:t>Számos országban (pl. Bulgária, Horvátország, Németország, Románia, Egyesült Királyság) megfigyelhető</w:t>
      </w:r>
      <w:r w:rsidR="00FE25CB">
        <w:rPr>
          <w:rFonts w:asciiTheme="minorHAnsi" w:hAnsiTheme="minorHAnsi"/>
        </w:rPr>
        <w:t xml:space="preserve"> egy egyre erősödő szándék a tekintetben, hogy a hitelezők többsége számára a bíróság lehetővé tegye a vagyonfelügyelő/felszámoló kinevezésének meghatározását</w:t>
      </w:r>
      <w:r w:rsidR="00824DC7">
        <w:rPr>
          <w:rFonts w:asciiTheme="minorHAnsi" w:hAnsiTheme="minorHAnsi"/>
        </w:rPr>
        <w:t xml:space="preserve"> a legtöbb esetben és még az eljárás kezdetekor.</w:t>
      </w:r>
    </w:p>
    <w:p w:rsidR="006B4437" w:rsidRDefault="006B4437" w:rsidP="009A73FD">
      <w:pPr>
        <w:pStyle w:val="TASBullet1"/>
        <w:numPr>
          <w:ilvl w:val="0"/>
          <w:numId w:val="46"/>
        </w:numPr>
        <w:rPr>
          <w:rFonts w:asciiTheme="minorHAnsi" w:hAnsiTheme="minorHAnsi"/>
        </w:rPr>
      </w:pPr>
      <w:r>
        <w:rPr>
          <w:rFonts w:asciiTheme="minorHAnsi" w:hAnsiTheme="minorHAnsi"/>
        </w:rPr>
        <w:t>Ahogyan az a fentiekben is említésre került, a véletlenszerű</w:t>
      </w:r>
      <w:r w:rsidR="00AE2C71">
        <w:rPr>
          <w:rFonts w:asciiTheme="minorHAnsi" w:hAnsiTheme="minorHAnsi"/>
        </w:rPr>
        <w:t xml:space="preserve">, automatikus kijelölő rendszer </w:t>
      </w:r>
      <w:r w:rsidR="00442FB2">
        <w:rPr>
          <w:rFonts w:asciiTheme="minorHAnsi" w:hAnsiTheme="minorHAnsi"/>
        </w:rPr>
        <w:t xml:space="preserve">nem mozdítja elő, hogy a vagyonfelügyelők/felszámolók </w:t>
      </w:r>
      <w:r w:rsidR="00B37454">
        <w:rPr>
          <w:rFonts w:asciiTheme="minorHAnsi" w:hAnsiTheme="minorHAnsi"/>
        </w:rPr>
        <w:t>legjobb képességeik szerint járjanak el</w:t>
      </w:r>
      <w:r w:rsidR="002A0FCE">
        <w:rPr>
          <w:rFonts w:asciiTheme="minorHAnsi" w:hAnsiTheme="minorHAnsi"/>
        </w:rPr>
        <w:t xml:space="preserve">, hiszen a teljesítményüknek nincsen szerepe a további kijelöléseknél. Ez csökkenti a vagyonfelügyelői/felszámolói szakmában a versenyt, </w:t>
      </w:r>
      <w:r w:rsidR="00C23A62">
        <w:rPr>
          <w:rFonts w:asciiTheme="minorHAnsi" w:hAnsiTheme="minorHAnsi"/>
        </w:rPr>
        <w:t xml:space="preserve">amely hátrányára válhat az eljárásokban érdekelteknek. </w:t>
      </w:r>
      <w:r w:rsidR="003904B8">
        <w:rPr>
          <w:rFonts w:asciiTheme="minorHAnsi" w:hAnsiTheme="minorHAnsi"/>
        </w:rPr>
        <w:t xml:space="preserve">A bíróság, illetve bármely más állami szerv által végzett kijelölés sem feltétlenül </w:t>
      </w:r>
      <w:r w:rsidR="002515D7">
        <w:rPr>
          <w:rFonts w:asciiTheme="minorHAnsi" w:hAnsiTheme="minorHAnsi"/>
        </w:rPr>
        <w:t>biztosítja</w:t>
      </w:r>
      <w:r w:rsidR="003904B8">
        <w:rPr>
          <w:rFonts w:asciiTheme="minorHAnsi" w:hAnsiTheme="minorHAnsi"/>
        </w:rPr>
        <w:t xml:space="preserve"> </w:t>
      </w:r>
      <w:r w:rsidR="002515D7">
        <w:rPr>
          <w:rFonts w:asciiTheme="minorHAnsi" w:hAnsiTheme="minorHAnsi"/>
        </w:rPr>
        <w:t>a verseny szükséges szintjét</w:t>
      </w:r>
      <w:r w:rsidR="00125295">
        <w:rPr>
          <w:rFonts w:asciiTheme="minorHAnsi" w:hAnsiTheme="minorHAnsi"/>
        </w:rPr>
        <w:t xml:space="preserve">, </w:t>
      </w:r>
      <w:r w:rsidR="00372839">
        <w:rPr>
          <w:rFonts w:asciiTheme="minorHAnsi" w:hAnsiTheme="minorHAnsi"/>
        </w:rPr>
        <w:t>mert a bíróság, illet</w:t>
      </w:r>
      <w:r w:rsidR="00CE65E7">
        <w:rPr>
          <w:rFonts w:asciiTheme="minorHAnsi" w:hAnsiTheme="minorHAnsi"/>
        </w:rPr>
        <w:t xml:space="preserve">ve bármely más állami szerv nem rendelkezik gazdasági érdekeltséggel az </w:t>
      </w:r>
      <w:r w:rsidR="00CE65E7">
        <w:rPr>
          <w:rFonts w:asciiTheme="minorHAnsi" w:hAnsiTheme="minorHAnsi"/>
        </w:rPr>
        <w:lastRenderedPageBreak/>
        <w:t>eljárás kimenetelét illetően</w:t>
      </w:r>
      <w:r w:rsidR="00536322">
        <w:rPr>
          <w:rFonts w:asciiTheme="minorHAnsi" w:hAnsiTheme="minorHAnsi"/>
        </w:rPr>
        <w:t xml:space="preserve"> és nem várható el tőle a vagyonfelügyelő/felszámoló tevékenységének olyan szintű ellenőrzése, mint amelyet az egyéb érdekeltek, különösen a hitelezők végeznének.</w:t>
      </w:r>
      <w:r w:rsidR="00E07A53">
        <w:rPr>
          <w:rFonts w:asciiTheme="minorHAnsi" w:hAnsiTheme="minorHAnsi"/>
        </w:rPr>
        <w:t xml:space="preserve"> A hitelezőknek a vagyonfelügyelő/felszámoló kijelölésében játszott szerepének erősítése előmozdíthatja a szakmán belüli nagyobb versenyt és növelheti a szakmai színvonalat.</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Az elsődleges ajánlás</w:t>
      </w:r>
      <w:r w:rsidR="005208A1">
        <w:rPr>
          <w:rFonts w:asciiTheme="minorHAnsi" w:hAnsiTheme="minorHAnsi"/>
        </w:rPr>
        <w:t xml:space="preserve"> tehát</w:t>
      </w:r>
      <w:r w:rsidRPr="003249D9">
        <w:rPr>
          <w:rFonts w:asciiTheme="minorHAnsi" w:hAnsiTheme="minorHAnsi"/>
        </w:rPr>
        <w:t>, hogy fontolóra kell venni a magyarországi véletlenszerű kiválasztási rendszer lecserélését egy közvetlen bírósági kinevezési rendszerrel a többségi hitelezők iránymutatás alapján. E megoldás szerint a hitelezők jelölhetnék vagy közvetlenül kiválaszthatnák a vagyonfelügyelőt/felszámolót. Ez a jog azonban korlátozható lehetne az állandó vagyonfelügyelő/felszámoló</w:t>
      </w:r>
      <w:r w:rsidR="0085502E">
        <w:rPr>
          <w:rFonts w:asciiTheme="minorHAnsi" w:hAnsiTheme="minorHAnsi"/>
        </w:rPr>
        <w:t>nak a</w:t>
      </w:r>
      <w:r w:rsidRPr="003249D9">
        <w:rPr>
          <w:rFonts w:asciiTheme="minorHAnsi" w:hAnsiTheme="minorHAnsi"/>
        </w:rPr>
        <w:t xml:space="preserve"> </w:t>
      </w:r>
      <w:r w:rsidR="0085502E">
        <w:rPr>
          <w:rFonts w:asciiTheme="minorHAnsi" w:hAnsiTheme="minorHAnsi"/>
        </w:rPr>
        <w:t xml:space="preserve">hitelezők többsége által történő </w:t>
      </w:r>
      <w:r w:rsidRPr="003249D9">
        <w:rPr>
          <w:rFonts w:asciiTheme="minorHAnsi" w:hAnsiTheme="minorHAnsi"/>
        </w:rPr>
        <w:t>jelölésére és kiválasztására</w:t>
      </w:r>
      <w:r w:rsidR="009B5270">
        <w:rPr>
          <w:rFonts w:asciiTheme="minorHAnsi" w:hAnsiTheme="minorHAnsi"/>
        </w:rPr>
        <w:t xml:space="preserve"> (amely lehetővé tenné, hogy a</w:t>
      </w:r>
      <w:r w:rsidRPr="003249D9">
        <w:rPr>
          <w:rFonts w:asciiTheme="minorHAnsi" w:hAnsiTheme="minorHAnsi"/>
        </w:rPr>
        <w:t xml:space="preserve"> bíróság az eljárás induláskor kinevezett egy kezdeti vagy ideiglenes vagyonfelügyelőt/felszámolót</w:t>
      </w:r>
      <w:r w:rsidR="009B5270">
        <w:rPr>
          <w:rFonts w:asciiTheme="minorHAnsi" w:hAnsiTheme="minorHAnsi"/>
        </w:rPr>
        <w:t>)</w:t>
      </w:r>
      <w:r w:rsidRPr="003249D9">
        <w:rPr>
          <w:rFonts w:asciiTheme="minorHAnsi" w:hAnsiTheme="minorHAnsi"/>
        </w:rPr>
        <w:t xml:space="preserve">. Azok a fizetésképtelenségi rendszerek, amelyek megengedik a hitelezők számára, hogy részt vegyenek az állandó vagyonfelügyelő/felszámoló kiválasztásában, általában csak az igénybenyújtási időszak után teszik lehetővé a részvételt, vagy az első hitelezői értekezleten vagy a fizetésképtelenségi eljárás elindulását követő gyűlésen. Ez a helyzet Bulgáriában, Horvátországban (csak a csődeljárás esetén) és Észtországban. Ezekben az országokban a bíróság, saját belátása szerinte eljárva, kezdeti vagy ideiglenes vagyonfelügyelőt/felszámolót nevez ki, és a hitelezőket ezt követően kéri fel, hogy válasszák meg az állandó vagyonfelügyelőt/felszámolót. </w:t>
      </w:r>
      <w:r w:rsidR="009B5270">
        <w:rPr>
          <w:rFonts w:asciiTheme="minorHAnsi" w:hAnsiTheme="minorHAnsi"/>
        </w:rPr>
        <w:t>Németországban, Romániában és az Egyesült Királyságban a hitelezők többsége az eljárás kezdetekor jogosult kinevezni a fizetésképtelenségi szakértőt.</w:t>
      </w:r>
      <w:r w:rsidR="001C2365">
        <w:rPr>
          <w:rStyle w:val="FootnoteReference"/>
          <w:rFonts w:asciiTheme="minorHAnsi" w:hAnsiTheme="minorHAnsi"/>
        </w:rPr>
        <w:footnoteReference w:id="11"/>
      </w:r>
      <w:r w:rsidR="009B5270">
        <w:rPr>
          <w:rFonts w:asciiTheme="minorHAnsi" w:hAnsiTheme="minorHAnsi"/>
        </w:rPr>
        <w:t xml:space="preserve"> Németországban ez egy egészen új fejlemény. </w:t>
      </w:r>
      <w:r w:rsidRPr="003249D9">
        <w:rPr>
          <w:rFonts w:asciiTheme="minorHAnsi" w:hAnsiTheme="minorHAnsi"/>
        </w:rPr>
        <w:t>A 2012 előtti német fizetésképtelenségi törvények szerint a bíróság kinevezett egy ideiglenes vagyonfelügyelőt és hitelezők az első hitelezői ülésen többségi szavazással kinevezhettek egy új vagyonfelügyelőt. A gyakorlatban a hitelezők ritkán cserélték le a vagyonfelügyelőt az ebből eredő időveszteség és pénzügyi költségek miatt. Azonban 2012-ben módosításra került a német fizetésképtelenségi törvény, törvényileg lehetővé téve egy előzetes hitelezői bizottság létrehozását bizonyos adósméret esetén. Ez a bizottság kiválaszthatja a fizetésképtelenségi vagyonfelügyelőt a fizetésképtelenségi eljárás elején és bíróság csak akkor dönthet úgy, hogy nem nevezi ki a jelöltet, ha a javasolt személy alkalmatlan a hivatal betöltésére. Az üzleti élet számos képviselője úgy véli, hogy a német reform méltányosabb a hitelezők számára, és egyben az eredményt illetően is hatékonyabb és előreláthatóbb.</w:t>
      </w:r>
      <w:r w:rsidR="00405471">
        <w:rPr>
          <w:rFonts w:asciiTheme="minorHAnsi" w:hAnsiTheme="minorHAnsi"/>
        </w:rPr>
        <w:t xml:space="preserve"> </w:t>
      </w:r>
    </w:p>
    <w:p w:rsidR="00BF6ACB" w:rsidRPr="003249D9" w:rsidRDefault="00BF6ACB" w:rsidP="00BF6ACB">
      <w:pPr>
        <w:pStyle w:val="TASBullet1"/>
        <w:numPr>
          <w:ilvl w:val="0"/>
          <w:numId w:val="0"/>
        </w:numPr>
        <w:ind w:left="288"/>
        <w:rPr>
          <w:rFonts w:asciiTheme="minorHAnsi" w:hAnsiTheme="minorHAnsi"/>
        </w:rPr>
      </w:pPr>
    </w:p>
    <w:p w:rsidR="00BF6ACB" w:rsidRPr="003249D9" w:rsidRDefault="00AB7CFF" w:rsidP="00BF6ACB">
      <w:pPr>
        <w:pStyle w:val="TASTextheading3"/>
        <w:rPr>
          <w:rFonts w:asciiTheme="minorHAnsi" w:hAnsiTheme="minorHAnsi"/>
        </w:rPr>
      </w:pPr>
      <w:r w:rsidRPr="003249D9">
        <w:rPr>
          <w:rFonts w:asciiTheme="minorHAnsi" w:hAnsiTheme="minorHAnsi"/>
        </w:rPr>
        <w:t>5.1.2. A magánszemély vagyonfelügyelő/felszámoló és a vagyonfelügyelő/felszámoló vállalat megkülönböztetése</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problémák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jelenlegi vagyonfelügyelő/felszámoló kinevezési gyakorlatot sok kritika éri az érintettek részéről. Nevezetesen, a bíróság kinevez egy vagyonfelügyelő/felszámoló társaságot, aki ezt követően kiadja az ügyet az egyik képesített alkalmazottjának, aki vagyonfelügyelőként/</w:t>
      </w:r>
      <w:proofErr w:type="spellStart"/>
      <w:r w:rsidRPr="003249D9">
        <w:rPr>
          <w:rFonts w:asciiTheme="minorHAnsi" w:hAnsiTheme="minorHAnsi"/>
        </w:rPr>
        <w:t>felszámoló</w:t>
      </w:r>
      <w:r w:rsidR="00E642C7">
        <w:rPr>
          <w:rFonts w:asciiTheme="minorHAnsi" w:hAnsiTheme="minorHAnsi"/>
        </w:rPr>
        <w:t>biztos</w:t>
      </w:r>
      <w:r w:rsidRPr="003249D9">
        <w:rPr>
          <w:rFonts w:asciiTheme="minorHAnsi" w:hAnsiTheme="minorHAnsi"/>
        </w:rPr>
        <w:t>ként</w:t>
      </w:r>
      <w:proofErr w:type="spellEnd"/>
      <w:r w:rsidRPr="003249D9">
        <w:rPr>
          <w:rFonts w:asciiTheme="minorHAnsi" w:hAnsiTheme="minorHAnsi"/>
        </w:rPr>
        <w:t xml:space="preserve"> jár el a csőd-/felszámolási eljárás során. A hitelezők úgy vélik, hogy az eljárás hatékonyabb és </w:t>
      </w:r>
      <w:r w:rsidR="00E642C7">
        <w:rPr>
          <w:rFonts w:asciiTheme="minorHAnsi" w:hAnsiTheme="minorHAnsi"/>
        </w:rPr>
        <w:t>kiszámíthatóbb</w:t>
      </w:r>
      <w:r w:rsidR="00E642C7" w:rsidRPr="003249D9">
        <w:rPr>
          <w:rFonts w:asciiTheme="minorHAnsi" w:hAnsiTheme="minorHAnsi"/>
        </w:rPr>
        <w:t xml:space="preserve"> </w:t>
      </w:r>
      <w:r w:rsidRPr="003249D9">
        <w:rPr>
          <w:rFonts w:asciiTheme="minorHAnsi" w:hAnsiTheme="minorHAnsi"/>
        </w:rPr>
        <w:t xml:space="preserve">lehetne, ha lenne ráhatásuk a vagyonfelügyelő/felszámoló vállalat és </w:t>
      </w:r>
      <w:r w:rsidR="00E642C7">
        <w:rPr>
          <w:rFonts w:asciiTheme="minorHAnsi" w:hAnsiTheme="minorHAnsi"/>
        </w:rPr>
        <w:t xml:space="preserve">a ténylegesen eljáró </w:t>
      </w:r>
      <w:r w:rsidRPr="003249D9">
        <w:rPr>
          <w:rFonts w:asciiTheme="minorHAnsi" w:hAnsiTheme="minorHAnsi"/>
        </w:rPr>
        <w:t>magánszemély kilétére. Emellett a Felszámolók és Vagyonfelügyelők Országos Egyesülete kifejezte aggályát arra vonatkozóan, hogy a magánszemély vagyonfelügyelő/</w:t>
      </w:r>
      <w:proofErr w:type="spellStart"/>
      <w:r w:rsidRPr="003249D9">
        <w:rPr>
          <w:rFonts w:asciiTheme="minorHAnsi" w:hAnsiTheme="minorHAnsi"/>
        </w:rPr>
        <w:t>felszámoló</w:t>
      </w:r>
      <w:r w:rsidR="00770AE6">
        <w:rPr>
          <w:rFonts w:asciiTheme="minorHAnsi" w:hAnsiTheme="minorHAnsi"/>
        </w:rPr>
        <w:t>biztos</w:t>
      </w:r>
      <w:proofErr w:type="spellEnd"/>
      <w:r w:rsidRPr="003249D9">
        <w:rPr>
          <w:rFonts w:asciiTheme="minorHAnsi" w:hAnsiTheme="minorHAnsi"/>
        </w:rPr>
        <w:t xml:space="preserve"> cselekedetei vagy mulasztásai a vagyonfelügyelő/felszámoló társaság </w:t>
      </w:r>
      <w:r w:rsidR="00E642C7">
        <w:rPr>
          <w:rFonts w:asciiTheme="minorHAnsi" w:hAnsiTheme="minorHAnsi"/>
        </w:rPr>
        <w:t>felmentését</w:t>
      </w:r>
      <w:r w:rsidR="00E642C7" w:rsidRPr="003249D9">
        <w:rPr>
          <w:rFonts w:asciiTheme="minorHAnsi" w:hAnsiTheme="minorHAnsi"/>
        </w:rPr>
        <w:t xml:space="preserve"> </w:t>
      </w:r>
      <w:r w:rsidRPr="003249D9">
        <w:rPr>
          <w:rFonts w:asciiTheme="minorHAnsi" w:hAnsiTheme="minorHAnsi"/>
        </w:rPr>
        <w:t>eredményezhetik.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fentiek tükrében tisztázni kell a magánszemély vagyonfelügyelők/</w:t>
      </w:r>
      <w:proofErr w:type="spellStart"/>
      <w:r w:rsidRPr="003249D9">
        <w:rPr>
          <w:rFonts w:asciiTheme="minorHAnsi" w:hAnsiTheme="minorHAnsi"/>
        </w:rPr>
        <w:t>felszámoló</w:t>
      </w:r>
      <w:r w:rsidR="00770AE6">
        <w:rPr>
          <w:rFonts w:asciiTheme="minorHAnsi" w:hAnsiTheme="minorHAnsi"/>
        </w:rPr>
        <w:t>biztoso</w:t>
      </w:r>
      <w:r w:rsidRPr="003249D9">
        <w:rPr>
          <w:rFonts w:asciiTheme="minorHAnsi" w:hAnsiTheme="minorHAnsi"/>
        </w:rPr>
        <w:t>k</w:t>
      </w:r>
      <w:proofErr w:type="spellEnd"/>
      <w:r w:rsidRPr="003249D9">
        <w:rPr>
          <w:rFonts w:asciiTheme="minorHAnsi" w:hAnsiTheme="minorHAnsi"/>
        </w:rPr>
        <w:t xml:space="preserve"> jogállását és felelősségét. Az érintettek emellett szívesen vennék a rendszeres visszajelzést a bíróság által kinevezett vagyonfelügyelő/felszámoló társaságot képviselő magánszemély vagyonfelügyelőre/</w:t>
      </w:r>
      <w:proofErr w:type="spellStart"/>
      <w:r w:rsidRPr="003249D9">
        <w:rPr>
          <w:rFonts w:asciiTheme="minorHAnsi" w:hAnsiTheme="minorHAnsi"/>
        </w:rPr>
        <w:t>felszámoló</w:t>
      </w:r>
      <w:r w:rsidR="00770AE6">
        <w:rPr>
          <w:rFonts w:asciiTheme="minorHAnsi" w:hAnsiTheme="minorHAnsi"/>
        </w:rPr>
        <w:t>biztos</w:t>
      </w:r>
      <w:r w:rsidRPr="003249D9">
        <w:rPr>
          <w:rFonts w:asciiTheme="minorHAnsi" w:hAnsiTheme="minorHAnsi"/>
        </w:rPr>
        <w:t>ra</w:t>
      </w:r>
      <w:proofErr w:type="spellEnd"/>
      <w:r w:rsidRPr="003249D9">
        <w:rPr>
          <w:rFonts w:asciiTheme="minorHAnsi" w:hAnsiTheme="minorHAnsi"/>
        </w:rPr>
        <w:t xml:space="preserve"> vonatkozóan.</w:t>
      </w:r>
    </w:p>
    <w:p w:rsidR="00BF6ACB" w:rsidRPr="003249D9" w:rsidRDefault="00AB7CFF" w:rsidP="00BF6ACB">
      <w:pPr>
        <w:pStyle w:val="TASTextheading3"/>
        <w:rPr>
          <w:rFonts w:asciiTheme="minorHAnsi" w:hAnsiTheme="minorHAnsi"/>
        </w:rPr>
      </w:pPr>
      <w:r w:rsidRPr="003249D9">
        <w:rPr>
          <w:rFonts w:asciiTheme="minorHAnsi" w:hAnsiTheme="minorHAnsi"/>
        </w:rPr>
        <w:t>Potenciális megoldási lehetőségek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Tekintettel arra, hogy a vagyonfelügyelő/felszámoló társaságok magántulajdonban lévő vállalatok, több átláthatóság szükséges az ilyen vállalatok tulajdonosi szerkezetének és tevékenységének terén.</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Ki kell dolgozni a magánszemély vagyonfelügyelő/</w:t>
      </w:r>
      <w:proofErr w:type="spellStart"/>
      <w:r w:rsidRPr="003249D9">
        <w:rPr>
          <w:rFonts w:asciiTheme="minorHAnsi" w:hAnsiTheme="minorHAnsi"/>
        </w:rPr>
        <w:t>felszámoló</w:t>
      </w:r>
      <w:r w:rsidR="00770AE6">
        <w:rPr>
          <w:rFonts w:asciiTheme="minorHAnsi" w:hAnsiTheme="minorHAnsi"/>
        </w:rPr>
        <w:t>biztos</w:t>
      </w:r>
      <w:proofErr w:type="spellEnd"/>
      <w:r w:rsidRPr="003249D9">
        <w:rPr>
          <w:rFonts w:asciiTheme="minorHAnsi" w:hAnsiTheme="minorHAnsi"/>
        </w:rPr>
        <w:t xml:space="preserve"> felelősségét, jogait és kötelezettségeit. A vonatkozó törvényeknek szintén célszerű lenne tisztázniuk az ügyek magánszemély vagyonfelügyelő/</w:t>
      </w:r>
      <w:proofErr w:type="spellStart"/>
      <w:r w:rsidRPr="003249D9">
        <w:rPr>
          <w:rFonts w:asciiTheme="minorHAnsi" w:hAnsiTheme="minorHAnsi"/>
        </w:rPr>
        <w:t>felszámoló</w:t>
      </w:r>
      <w:r w:rsidR="00770AE6">
        <w:rPr>
          <w:rFonts w:asciiTheme="minorHAnsi" w:hAnsiTheme="minorHAnsi"/>
        </w:rPr>
        <w:t>biztos</w:t>
      </w:r>
      <w:proofErr w:type="spellEnd"/>
      <w:r w:rsidRPr="003249D9">
        <w:rPr>
          <w:rFonts w:asciiTheme="minorHAnsi" w:hAnsiTheme="minorHAnsi"/>
        </w:rPr>
        <w:t xml:space="preserve"> általi átadására és az átmeneti időszakra vonatkozó rendelkezéseket abban az esetben, ha a magánszemély vagyonfelügyelő/</w:t>
      </w:r>
      <w:proofErr w:type="spellStart"/>
      <w:r w:rsidRPr="003249D9">
        <w:rPr>
          <w:rFonts w:asciiTheme="minorHAnsi" w:hAnsiTheme="minorHAnsi"/>
        </w:rPr>
        <w:t>felszámoló</w:t>
      </w:r>
      <w:r w:rsidR="00770AE6">
        <w:rPr>
          <w:rFonts w:asciiTheme="minorHAnsi" w:hAnsiTheme="minorHAnsi"/>
        </w:rPr>
        <w:t>biztos</w:t>
      </w:r>
      <w:proofErr w:type="spellEnd"/>
      <w:r w:rsidRPr="003249D9">
        <w:rPr>
          <w:rFonts w:asciiTheme="minorHAnsi" w:hAnsiTheme="minorHAnsi"/>
        </w:rPr>
        <w:t xml:space="preserve"> megbízása bármilyen okból megszűnik.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hitelezőknek és az adósoknak lehetőséget kell biztosítani a rendszeres visszajelzésre a magánszemély vagyonfelügyelőkre és a vagyonfelügyelő vállalatokra vonatkozó gyakorlati tapasztalataikat illetően.</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lastRenderedPageBreak/>
        <w:t>Emellett, a kifogási rendszer jelenlegi bíróságon alapuló jellege is hatékonyabban működhetne, ha szakosodott fizetésképtelenségi bíróságokat hoznának létre (lásd e fejezeten belül</w:t>
      </w:r>
      <w:r w:rsidR="00405471">
        <w:rPr>
          <w:rFonts w:asciiTheme="minorHAnsi" w:hAnsiTheme="minorHAnsi"/>
        </w:rPr>
        <w:t xml:space="preserve"> </w:t>
      </w:r>
      <w:r w:rsidRPr="003249D9">
        <w:rPr>
          <w:rFonts w:asciiTheme="minorHAnsi" w:hAnsiTheme="minorHAnsi"/>
          <w:i/>
        </w:rPr>
        <w:t>Az adósok jogi keretekkel való visszaélése</w:t>
      </w:r>
      <w:r w:rsidRPr="003249D9">
        <w:rPr>
          <w:rFonts w:asciiTheme="minorHAnsi" w:hAnsiTheme="minorHAnsi"/>
        </w:rPr>
        <w:t xml:space="preserve"> című szakaszt). Ebben az esetben a bíráknak nagyobb kapacitása lenne</w:t>
      </w:r>
      <w:r w:rsidR="00405471">
        <w:rPr>
          <w:rFonts w:asciiTheme="minorHAnsi" w:hAnsiTheme="minorHAnsi"/>
        </w:rPr>
        <w:t xml:space="preserve"> </w:t>
      </w:r>
      <w:r w:rsidRPr="003249D9">
        <w:rPr>
          <w:rFonts w:asciiTheme="minorHAnsi" w:hAnsiTheme="minorHAnsi"/>
        </w:rPr>
        <w:t>a kifogások vizsgálatára, ami a hitelezői visszajelzések alaposabb fontolóra vételét eredményezné.</w:t>
      </w:r>
    </w:p>
    <w:p w:rsidR="00BF6ACB" w:rsidRPr="003249D9" w:rsidRDefault="00AB7CFF" w:rsidP="00BF6ACB">
      <w:pPr>
        <w:pStyle w:val="TASTextheading3"/>
        <w:rPr>
          <w:rFonts w:asciiTheme="minorHAnsi" w:hAnsiTheme="minorHAnsi"/>
        </w:rPr>
      </w:pPr>
      <w:r w:rsidRPr="003249D9">
        <w:rPr>
          <w:rFonts w:asciiTheme="minorHAnsi" w:hAnsiTheme="minorHAnsi"/>
        </w:rPr>
        <w:t>5.1.3. Különféle egyéb problémák</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problémák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hitelezők elmondása szerint a gyakorlatban szinte lehetetlen az eljáró vagyonfelügyelő/felszámoló lecserélése, ha a vagyonfelügyelő/felszámoló megszegi a törvényt, nem megfelelően végzi feladatát vagy csak jelentős késedelemmel végzi azt el. Ez különösen vonatkozik a csődeljárásokra, ahol a hitelezők nem jogosultak kérni a vagyonfelügyelő</w:t>
      </w:r>
      <w:r w:rsidR="00405471">
        <w:rPr>
          <w:rFonts w:asciiTheme="minorHAnsi" w:hAnsiTheme="minorHAnsi"/>
        </w:rPr>
        <w:t xml:space="preserve"> </w:t>
      </w:r>
      <w:r w:rsidRPr="003249D9">
        <w:rPr>
          <w:rFonts w:asciiTheme="minorHAnsi" w:hAnsiTheme="minorHAnsi"/>
        </w:rPr>
        <w:t xml:space="preserve">indokolás nélkül lecserélését (lásd a Jogi háttér fejezet 4.6 szakaszát – </w:t>
      </w:r>
      <w:proofErr w:type="gramStart"/>
      <w:r w:rsidRPr="003249D9">
        <w:rPr>
          <w:rFonts w:asciiTheme="minorHAnsi" w:hAnsiTheme="minorHAnsi"/>
          <w:i/>
        </w:rPr>
        <w:t>A</w:t>
      </w:r>
      <w:proofErr w:type="gramEnd"/>
      <w:r w:rsidRPr="003249D9">
        <w:rPr>
          <w:rFonts w:asciiTheme="minorHAnsi" w:hAnsiTheme="minorHAnsi"/>
          <w:i/>
        </w:rPr>
        <w:t xml:space="preserve"> vagyonfelügyelő szerepe és felelőssége</w:t>
      </w:r>
      <w:r w:rsidRPr="003249D9">
        <w:rPr>
          <w:rFonts w:asciiTheme="minorHAnsi" w:hAnsiTheme="minorHAnsi"/>
        </w:rPr>
        <w:t>).</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Amennyiben a bíróság mégis lecseréli a vagyonfelügyelőt/felszámolót, az előző vagyonfelügyelő/felszámoló mindenképpen megkapja díjazásának arányos részét. Ez nyilvánvalóan nem ad elég késztetést a vagyonfelügyelőnek/felszámolónak arra, hogy igyekezzen elkerülni a kizárást és a lehető legmagasabb szinten elvégezni tevékenységét.</w:t>
      </w:r>
    </w:p>
    <w:p w:rsidR="00BF6ACB" w:rsidRPr="003249D9" w:rsidRDefault="00AB7CFF" w:rsidP="00BF6ACB">
      <w:pPr>
        <w:pStyle w:val="TASTextheading3"/>
        <w:rPr>
          <w:rFonts w:asciiTheme="minorHAnsi" w:hAnsiTheme="minorHAnsi"/>
        </w:rPr>
      </w:pPr>
      <w:r w:rsidRPr="003249D9">
        <w:rPr>
          <w:rFonts w:asciiTheme="minorHAnsi" w:hAnsiTheme="minorHAnsi"/>
        </w:rPr>
        <w:t>Potenciális megoldási lehetőségek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 hitelezők jogát, hogy egy korlátozott időszakon belül kérhessék a vagyonfelügyelő indokolás nélküli lecserélését, ki kellene terjeszteni a csődeljárásra is (lásd a Jogi háttér fejezet 4.6 szakaszát – </w:t>
      </w:r>
      <w:proofErr w:type="gramStart"/>
      <w:r w:rsidRPr="003249D9">
        <w:rPr>
          <w:rFonts w:asciiTheme="minorHAnsi" w:hAnsiTheme="minorHAnsi"/>
          <w:i/>
        </w:rPr>
        <w:t>A</w:t>
      </w:r>
      <w:proofErr w:type="gramEnd"/>
      <w:r w:rsidRPr="003249D9">
        <w:rPr>
          <w:rFonts w:asciiTheme="minorHAnsi" w:hAnsiTheme="minorHAnsi"/>
          <w:i/>
        </w:rPr>
        <w:t xml:space="preserve"> vagyonfelügyelő szerepe és felelőssége</w:t>
      </w:r>
      <w:r w:rsidRPr="003249D9">
        <w:rPr>
          <w:rFonts w:asciiTheme="minorHAnsi" w:hAnsiTheme="minorHAnsi"/>
        </w:rPr>
        <w:t xml:space="preserve"> és 5.7 szakaszát – A</w:t>
      </w:r>
      <w:r w:rsidRPr="003249D9">
        <w:rPr>
          <w:rFonts w:asciiTheme="minorHAnsi" w:hAnsiTheme="minorHAnsi"/>
          <w:i/>
        </w:rPr>
        <w:t xml:space="preserve"> felszámoló szerepe és felelőssége</w:t>
      </w:r>
      <w:r w:rsidRPr="003249D9">
        <w:rPr>
          <w:rFonts w:asciiTheme="minorHAnsi" w:hAnsiTheme="minorHAnsi"/>
        </w:rPr>
        <w:t>).</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vagyonfelügyelő/felszámoló korlátozott időszakon belüli indokolás nélküli lecserélésre vonatkozó feltételek egyszerűsíthetők lennének úgy, hogy a hitelezők egyszerű többsége helyett a szavazati jogok legalább egyharmadával rendelkező hitelezők kérhessék a cserét.</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vagyonfelügyelők/felszámolók egy törvényileg szabályozott önrendelkező testületének felállítása a Felszámoló és Vagyonfelügyelők Országos Egyesületének kamarává való alakításával:</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Az Egyesület úgy véli, hogy hatékonyabban tudna működni egy, a Magyar Bírósági Végrehajtói Kamarához hasonló kamara formájában. Jelenleg a vagyonfelügyelők/felszámolók csak önkéntes alapon csatlakoznak az Egyesülethez, így néhány vagyonfelügyelő/felszámoló társaság nem is tag.</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Ha az Egyesület kamarai formában működne:</w:t>
      </w:r>
    </w:p>
    <w:p w:rsidR="00BF6ACB" w:rsidRPr="003249D9" w:rsidRDefault="00AB7CFF" w:rsidP="009A73FD">
      <w:pPr>
        <w:pStyle w:val="TASBulletnumber"/>
        <w:numPr>
          <w:ilvl w:val="0"/>
          <w:numId w:val="45"/>
        </w:numPr>
        <w:ind w:left="900"/>
        <w:rPr>
          <w:rFonts w:asciiTheme="minorHAnsi" w:hAnsiTheme="minorHAnsi"/>
        </w:rPr>
      </w:pPr>
      <w:r w:rsidRPr="003249D9">
        <w:rPr>
          <w:rFonts w:asciiTheme="minorHAnsi" w:hAnsiTheme="minorHAnsi"/>
        </w:rPr>
        <w:t>a vagyonfelügyelők/felszámolók, mint kamarai tagok, jobban betartanák az etikai és fegyelmi rendelkezéseket; és</w:t>
      </w:r>
    </w:p>
    <w:p w:rsidR="00BF6ACB" w:rsidRPr="003249D9" w:rsidRDefault="00AB7CFF" w:rsidP="009A73FD">
      <w:pPr>
        <w:pStyle w:val="TASBulletnumber"/>
        <w:numPr>
          <w:ilvl w:val="0"/>
          <w:numId w:val="40"/>
        </w:numPr>
        <w:ind w:left="900"/>
        <w:rPr>
          <w:rFonts w:asciiTheme="minorHAnsi" w:hAnsiTheme="minorHAnsi"/>
        </w:rPr>
      </w:pPr>
      <w:r w:rsidRPr="003249D9">
        <w:rPr>
          <w:rFonts w:asciiTheme="minorHAnsi" w:hAnsiTheme="minorHAnsi"/>
        </w:rPr>
        <w:t xml:space="preserve">az Egyesület </w:t>
      </w:r>
      <w:r w:rsidR="002F7B32">
        <w:rPr>
          <w:rFonts w:asciiTheme="minorHAnsi" w:hAnsiTheme="minorHAnsi"/>
        </w:rPr>
        <w:t xml:space="preserve">kamarává történő alakításának részeként a vonatkozó jogszabály előírhatná, hogy </w:t>
      </w:r>
      <w:r w:rsidR="00383915">
        <w:rPr>
          <w:rFonts w:asciiTheme="minorHAnsi" w:hAnsiTheme="minorHAnsi"/>
        </w:rPr>
        <w:t xml:space="preserve">az Egyesület rendszeresen felügyelje és vizsgálja mind a vagyonfelügyelő/felszámoló társaságok, mind ezek alkalmazottainak munkáját, mindenképpen egy törvényi minimum időszak meghatározásával (pl. kétévente egyszer helyszíni vizsgálat formájában). </w:t>
      </w:r>
      <w:r w:rsidR="00B33FEE">
        <w:rPr>
          <w:rFonts w:asciiTheme="minorHAnsi" w:hAnsiTheme="minorHAnsi"/>
        </w:rPr>
        <w:t>Amennyiben ezt hatékonyabb szankciók és fegyelmi jogkörök kísérnék, akkor a rendszeres felügyelet elő tudná mozdítani a vagyonfelügyelők/felszámolók teljesítményének magasabb szintjét és a jogszabálysértésekkel szembeni hatékonyabb fellépést</w:t>
      </w:r>
      <w:r w:rsidRPr="003249D9">
        <w:rPr>
          <w:rFonts w:asciiTheme="minorHAnsi" w:hAnsiTheme="minorHAnsi"/>
        </w:rPr>
        <w:t>.</w:t>
      </w:r>
    </w:p>
    <w:p w:rsidR="00BF6ACB" w:rsidRPr="003249D9" w:rsidRDefault="00BF6ACB" w:rsidP="00BF6ACB">
      <w:pPr>
        <w:pStyle w:val="TASBullet1"/>
        <w:numPr>
          <w:ilvl w:val="0"/>
          <w:numId w:val="0"/>
        </w:numPr>
        <w:ind w:left="288"/>
        <w:rPr>
          <w:rFonts w:asciiTheme="minorHAnsi" w:hAnsiTheme="minorHAnsi"/>
        </w:rPr>
      </w:pPr>
    </w:p>
    <w:p w:rsidR="00BF6ACB" w:rsidRPr="003249D9" w:rsidRDefault="00AB7CFF" w:rsidP="00BF6ACB">
      <w:pPr>
        <w:pStyle w:val="TASTextheading1"/>
        <w:rPr>
          <w:rFonts w:asciiTheme="minorHAnsi" w:hAnsiTheme="minorHAnsi"/>
        </w:rPr>
      </w:pPr>
      <w:r w:rsidRPr="003249D9">
        <w:rPr>
          <w:rFonts w:asciiTheme="minorHAnsi" w:hAnsiTheme="minorHAnsi"/>
        </w:rPr>
        <w:t>6. CSŐDELJÁRÁS</w:t>
      </w:r>
    </w:p>
    <w:p w:rsidR="00BF6ACB" w:rsidRPr="003249D9" w:rsidRDefault="00AB7CFF" w:rsidP="00BF6ACB">
      <w:pPr>
        <w:pStyle w:val="TASTextheading3"/>
        <w:rPr>
          <w:rFonts w:asciiTheme="minorHAnsi" w:hAnsiTheme="minorHAnsi"/>
        </w:rPr>
      </w:pPr>
      <w:r w:rsidRPr="003249D9">
        <w:rPr>
          <w:rFonts w:asciiTheme="minorHAnsi" w:hAnsiTheme="minorHAnsi"/>
        </w:rPr>
        <w:t>6.1.1. Általános megjegyzések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 jelenleg hatályos Csődtörvény 1991-ben lépett hatályba, majd ezt követően többször módosításra került. Általánosságban minden érintett egyetért abban, hogy a törvény a jelenlegi formájában túlhaladott, és a további – esetleg nem is hatékony – eseti módosítások helyett egy </w:t>
      </w:r>
      <w:proofErr w:type="gramStart"/>
      <w:r w:rsidRPr="003249D9">
        <w:rPr>
          <w:rFonts w:asciiTheme="minorHAnsi" w:hAnsiTheme="minorHAnsi"/>
        </w:rPr>
        <w:t>hosszú távra</w:t>
      </w:r>
      <w:proofErr w:type="gramEnd"/>
      <w:r w:rsidRPr="003249D9">
        <w:rPr>
          <w:rFonts w:asciiTheme="minorHAnsi" w:hAnsiTheme="minorHAnsi"/>
        </w:rPr>
        <w:t xml:space="preserve"> szóló, modern csődtörvényre van szükség. </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 magyar </w:t>
      </w:r>
      <w:r w:rsidR="00770AE6">
        <w:rPr>
          <w:rFonts w:asciiTheme="minorHAnsi" w:hAnsiTheme="minorHAnsi"/>
        </w:rPr>
        <w:t>C</w:t>
      </w:r>
      <w:r w:rsidRPr="003249D9">
        <w:rPr>
          <w:rFonts w:asciiTheme="minorHAnsi" w:hAnsiTheme="minorHAnsi"/>
        </w:rPr>
        <w:t xml:space="preserve">sődtörvény csődeljárásra vonatkozó szakasza egyes külföldi csődjogszabályokkal összehasonlítva viszonylag rövid. Ebből következően a jogalkalmazás során túl nagy feladatot jelent a Csődtörvényben nem szabályozott kérdések kezelése, illetve az ellentmondásos előírások tisztázása. Ez a megoldás – tekintettel arra, hogy </w:t>
      </w:r>
      <w:proofErr w:type="spellStart"/>
      <w:proofErr w:type="gramStart"/>
      <w:r w:rsidRPr="003249D9">
        <w:rPr>
          <w:rFonts w:asciiTheme="minorHAnsi" w:hAnsiTheme="minorHAnsi"/>
        </w:rPr>
        <w:t>a</w:t>
      </w:r>
      <w:r w:rsidR="00770AE6">
        <w:rPr>
          <w:rFonts w:asciiTheme="minorHAnsi" w:hAnsiTheme="minorHAnsi"/>
        </w:rPr>
        <w:t>bírósági</w:t>
      </w:r>
      <w:proofErr w:type="spellEnd"/>
      <w:proofErr w:type="gramEnd"/>
      <w:r w:rsidR="00770AE6" w:rsidRPr="003249D9">
        <w:rPr>
          <w:rFonts w:asciiTheme="minorHAnsi" w:hAnsiTheme="minorHAnsi"/>
        </w:rPr>
        <w:t xml:space="preserve"> </w:t>
      </w:r>
      <w:r w:rsidRPr="003249D9">
        <w:rPr>
          <w:rFonts w:asciiTheme="minorHAnsi" w:hAnsiTheme="minorHAnsi"/>
        </w:rPr>
        <w:t>erőforrások korlátozottak és a magyar jogban nem létezik a precedens alapú ítélethozatal rendszere – hosszú távon fenntarthatatlannak tűnik.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 csődeljárásokra vonatkozó jogi keretrendszer egyik legjelentősebb módosításának az volt a célja, hogy megerősítse az ilyen eljárások </w:t>
      </w:r>
      <w:proofErr w:type="spellStart"/>
      <w:r w:rsidRPr="003249D9">
        <w:rPr>
          <w:rFonts w:asciiTheme="minorHAnsi" w:hAnsiTheme="minorHAnsi"/>
        </w:rPr>
        <w:t>restrukturálási</w:t>
      </w:r>
      <w:proofErr w:type="spellEnd"/>
      <w:r w:rsidRPr="003249D9">
        <w:rPr>
          <w:rFonts w:asciiTheme="minorHAnsi" w:hAnsiTheme="minorHAnsi"/>
        </w:rPr>
        <w:t xml:space="preserve"> jellegét, hogy ily módon a pénzügyi nehézségekkel küzdő, de életképes vállalkozások </w:t>
      </w:r>
      <w:r w:rsidRPr="003249D9">
        <w:rPr>
          <w:rFonts w:asciiTheme="minorHAnsi" w:hAnsiTheme="minorHAnsi"/>
        </w:rPr>
        <w:lastRenderedPageBreak/>
        <w:t>elkerülhessék a felszámolást és tovább működhessenek. Az említett módosítások hosszú távon a sok felszámolási eljárás helyett a csődeljárások előtérbe kerülését célozták.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Ugyanakkor úgy látszik, hogy a csődeljárások még mindig nem alkalmasak e cél elérésére, és számos olyan probléma azonosítható, amelyek a gyakorlatban csökkentik a csődeljárások hatékonyságát vagy megakadályozzák azt. E problémák az alábbiak szerint csoportosíthatók és foglalhatók össze.</w:t>
      </w:r>
    </w:p>
    <w:p w:rsidR="00BF6ACB" w:rsidRPr="003249D9" w:rsidRDefault="00AB7CFF" w:rsidP="00BF6ACB">
      <w:pPr>
        <w:pStyle w:val="TASTextheading3"/>
        <w:rPr>
          <w:rFonts w:asciiTheme="minorHAnsi" w:hAnsiTheme="minorHAnsi"/>
        </w:rPr>
      </w:pPr>
      <w:r w:rsidRPr="003249D9">
        <w:rPr>
          <w:rFonts w:asciiTheme="minorHAnsi" w:hAnsiTheme="minorHAnsi"/>
        </w:rPr>
        <w:t xml:space="preserve">6.1.2. Nem a </w:t>
      </w:r>
      <w:proofErr w:type="spellStart"/>
      <w:r w:rsidRPr="003249D9">
        <w:rPr>
          <w:rFonts w:asciiTheme="minorHAnsi" w:hAnsiTheme="minorHAnsi"/>
        </w:rPr>
        <w:t>restrukturálási</w:t>
      </w:r>
      <w:proofErr w:type="spellEnd"/>
      <w:r w:rsidRPr="003249D9">
        <w:rPr>
          <w:rFonts w:asciiTheme="minorHAnsi" w:hAnsiTheme="minorHAnsi"/>
        </w:rPr>
        <w:t xml:space="preserve"> jelleg a meghatározó </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problémák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reorganizációs terv nem kap kellő figyelmet: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Az adósnak csak meghatározott idő elteltével, az eljárás közben kell reorganizációs tervet készítenie. Konkrétabban fogalmazva a csődeljárás megindításakor egyáltalán nincs is szükség előzetes üzleti vagy reorganizációs tervre. Az ilyen tervekkel </w:t>
      </w:r>
      <w:r w:rsidR="00770AE6">
        <w:rPr>
          <w:rFonts w:asciiTheme="minorHAnsi" w:hAnsiTheme="minorHAnsi"/>
        </w:rPr>
        <w:t xml:space="preserve">pedig </w:t>
      </w:r>
      <w:r w:rsidRPr="003249D9">
        <w:rPr>
          <w:rFonts w:asciiTheme="minorHAnsi" w:hAnsiTheme="minorHAnsi"/>
        </w:rPr>
        <w:t xml:space="preserve">jól lehetne kommunikálni a </w:t>
      </w:r>
      <w:r w:rsidR="00770AE6">
        <w:rPr>
          <w:rFonts w:asciiTheme="minorHAnsi" w:hAnsiTheme="minorHAnsi"/>
        </w:rPr>
        <w:t>többi fél</w:t>
      </w:r>
      <w:r w:rsidR="00770AE6" w:rsidRPr="003249D9">
        <w:rPr>
          <w:rFonts w:asciiTheme="minorHAnsi" w:hAnsiTheme="minorHAnsi"/>
        </w:rPr>
        <w:t xml:space="preserve"> </w:t>
      </w:r>
      <w:r w:rsidRPr="003249D9">
        <w:rPr>
          <w:rFonts w:asciiTheme="minorHAnsi" w:hAnsiTheme="minorHAnsi"/>
        </w:rPr>
        <w:t>felé, hogy az adós helyzete stabil, a nehézségeket le akarja küzdeni és folytatni kívánja működését.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Csődtörvény nem rendelkezik az adós által elkészítendő reorganizációs terv tartalmáról. Bár a hitelezőknek szavazniuk kell a reorganizációs tervről, mégis a jelenlegi gyakorlatban mind a reorganizációs terv, mind a kapcsolódó szavazás inkább csak formalitás.</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Nem kellőképpen tisztázott az sem, hogy a vagyonfelügyelő milyen szerepet játszik a reorganizációs terv elkészítésében. A gyakorlatban a vagyonfelügyelők általában vonakodnak attól, hogy részt vegyenek ebben a munkában, noha tapasztalatukkal és szakértelmükkel elősegíthetnék, hogy az adós professzionális és megbízható üzleti tervet készítsen.</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gyakorlati tapasztalatok azt mutatják, hogy a legsúlyosabb esetekben a pénzügyi reorganizáció önmagában kevés, hanem feltétlenül szükség van az adós működésének átszervezésére is. A csődeljárásra rendelkezésre álló időkeret nagyon </w:t>
      </w:r>
      <w:r w:rsidR="00770AE6">
        <w:rPr>
          <w:rFonts w:asciiTheme="minorHAnsi" w:hAnsiTheme="minorHAnsi"/>
        </w:rPr>
        <w:t>kevés</w:t>
      </w:r>
      <w:r w:rsidRPr="003249D9">
        <w:rPr>
          <w:rFonts w:asciiTheme="minorHAnsi" w:hAnsiTheme="minorHAnsi"/>
        </w:rPr>
        <w:t>, ha az adós nem áll megfelelően készen az átszervezésre. Ezen kívül a működés átszervezése szakmai tanácsadók bevonását is szükségessé teheti, amely további finanszírozási és időtervezési problémákat is felvet.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legtöbb érdekelt fél annak a véleményének adott hangot, hogy az állandóan változó jogi környezet nem segíti elő az üzleti tervezést. Az üzleti tervezés csak stabil és kiszámítható jogi keretrendszerben lehet megbízható és professzionális.</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Nincs elegendő likviditás a </w:t>
      </w:r>
      <w:proofErr w:type="spellStart"/>
      <w:r w:rsidRPr="003249D9">
        <w:rPr>
          <w:rFonts w:asciiTheme="minorHAnsi" w:hAnsiTheme="minorHAnsi"/>
        </w:rPr>
        <w:t>restrukturálási</w:t>
      </w:r>
      <w:proofErr w:type="spellEnd"/>
      <w:r w:rsidRPr="003249D9">
        <w:rPr>
          <w:rFonts w:asciiTheme="minorHAnsi" w:hAnsiTheme="minorHAnsi"/>
        </w:rPr>
        <w:t xml:space="preserve"> költségek fedezetére:</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Az adós és/vagy az adós </w:t>
      </w:r>
      <w:r w:rsidR="00770AE6">
        <w:rPr>
          <w:rFonts w:asciiTheme="minorHAnsi" w:hAnsiTheme="minorHAnsi"/>
        </w:rPr>
        <w:t>tulajdonosai</w:t>
      </w:r>
      <w:r w:rsidR="00770AE6" w:rsidRPr="003249D9">
        <w:rPr>
          <w:rFonts w:asciiTheme="minorHAnsi" w:hAnsiTheme="minorHAnsi"/>
        </w:rPr>
        <w:t xml:space="preserve"> </w:t>
      </w:r>
      <w:r w:rsidRPr="003249D9">
        <w:rPr>
          <w:rFonts w:asciiTheme="minorHAnsi" w:hAnsiTheme="minorHAnsi"/>
        </w:rPr>
        <w:t xml:space="preserve">általában nem számolnak előre azzal, hogy mennyibe kerül a refinanszírozás és az adós csődeljárás alatti működési költségeinek biztosítása. E célból más finanszírozási források bevonásáról sem intézkednek. Kifejezetten problémás piacról van szó, amely a </w:t>
      </w:r>
      <w:r w:rsidR="00770AE6">
        <w:rPr>
          <w:rFonts w:asciiTheme="minorHAnsi" w:hAnsiTheme="minorHAnsi"/>
        </w:rPr>
        <w:t>tulajdonosok</w:t>
      </w:r>
      <w:r w:rsidR="00770AE6" w:rsidRPr="003249D9">
        <w:rPr>
          <w:rFonts w:asciiTheme="minorHAnsi" w:hAnsiTheme="minorHAnsi"/>
        </w:rPr>
        <w:t xml:space="preserve"> </w:t>
      </w:r>
      <w:r w:rsidRPr="003249D9">
        <w:rPr>
          <w:rFonts w:asciiTheme="minorHAnsi" w:hAnsiTheme="minorHAnsi"/>
        </w:rPr>
        <w:t>részéről szilárd elkötelezettséget igényelne, ez azonban sok esetben hiányzik.</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Csődtörvény rendelkezik a </w:t>
      </w:r>
      <w:r w:rsidR="006E23D0">
        <w:rPr>
          <w:rFonts w:asciiTheme="minorHAnsi" w:hAnsiTheme="minorHAnsi"/>
        </w:rPr>
        <w:t>„</w:t>
      </w:r>
      <w:r w:rsidRPr="003249D9">
        <w:rPr>
          <w:rFonts w:asciiTheme="minorHAnsi" w:hAnsiTheme="minorHAnsi"/>
        </w:rPr>
        <w:t>mentőfinanszírozás</w:t>
      </w:r>
      <w:r w:rsidR="006E23D0">
        <w:rPr>
          <w:rFonts w:asciiTheme="minorHAnsi" w:hAnsiTheme="minorHAnsi"/>
        </w:rPr>
        <w:t>”</w:t>
      </w:r>
      <w:r w:rsidRPr="003249D9">
        <w:rPr>
          <w:rFonts w:asciiTheme="minorHAnsi" w:hAnsiTheme="minorHAnsi"/>
        </w:rPr>
        <w:t xml:space="preserve"> prioritásának biztosításáról. E rendelkezések azonban inkább homályosak, és csak az ilyen finanszírozást biztosító kapcsolt vállalkozásokra vonatkoznak. Más potenciális finanszírozó partnereket nem ösztönöznek </w:t>
      </w:r>
      <w:r w:rsidR="006E23D0">
        <w:rPr>
          <w:rFonts w:asciiTheme="minorHAnsi" w:hAnsiTheme="minorHAnsi"/>
        </w:rPr>
        <w:t>„</w:t>
      </w:r>
      <w:r w:rsidRPr="003249D9">
        <w:rPr>
          <w:rFonts w:asciiTheme="minorHAnsi" w:hAnsiTheme="minorHAnsi"/>
        </w:rPr>
        <w:t>mentőfinanszírozásra</w:t>
      </w:r>
      <w:r w:rsidR="006E23D0">
        <w:rPr>
          <w:rFonts w:asciiTheme="minorHAnsi" w:hAnsiTheme="minorHAnsi"/>
        </w:rPr>
        <w:t>”</w:t>
      </w:r>
      <w:r w:rsidRPr="003249D9">
        <w:rPr>
          <w:rFonts w:asciiTheme="minorHAnsi" w:hAnsiTheme="minorHAnsi"/>
        </w:rPr>
        <w:t>.</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hitelezőket semmi sem ösztönzi az együttműködésre:</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hitelezőket nem vonják be kellőképpen a </w:t>
      </w:r>
      <w:proofErr w:type="spellStart"/>
      <w:r w:rsidRPr="003249D9">
        <w:rPr>
          <w:rFonts w:asciiTheme="minorHAnsi" w:hAnsiTheme="minorHAnsi"/>
        </w:rPr>
        <w:t>restrukturálásba</w:t>
      </w:r>
      <w:proofErr w:type="spellEnd"/>
      <w:r w:rsidRPr="003249D9">
        <w:rPr>
          <w:rFonts w:asciiTheme="minorHAnsi" w:hAnsiTheme="minorHAnsi"/>
        </w:rPr>
        <w:t>, és a csődeljárásokban a hitelező</w:t>
      </w:r>
      <w:r w:rsidR="006E23D0">
        <w:rPr>
          <w:rFonts w:asciiTheme="minorHAnsi" w:hAnsiTheme="minorHAnsi"/>
        </w:rPr>
        <w:t>i választmánynak</w:t>
      </w:r>
      <w:r w:rsidRPr="003249D9">
        <w:rPr>
          <w:rFonts w:asciiTheme="minorHAnsi" w:hAnsiTheme="minorHAnsi"/>
        </w:rPr>
        <w:t xml:space="preserve"> nincs olyan jogosultsága, amely motiválttá tenné a hitelezőket az együttműködésben és abban, hogy </w:t>
      </w:r>
      <w:r w:rsidR="006E23D0">
        <w:rPr>
          <w:rFonts w:asciiTheme="minorHAnsi" w:hAnsiTheme="minorHAnsi"/>
        </w:rPr>
        <w:t>választmányt</w:t>
      </w:r>
      <w:r w:rsidR="006E23D0" w:rsidRPr="003249D9">
        <w:rPr>
          <w:rFonts w:asciiTheme="minorHAnsi" w:hAnsiTheme="minorHAnsi"/>
        </w:rPr>
        <w:t xml:space="preserve"> </w:t>
      </w:r>
      <w:r w:rsidRPr="003249D9">
        <w:rPr>
          <w:rFonts w:asciiTheme="minorHAnsi" w:hAnsiTheme="minorHAnsi"/>
        </w:rPr>
        <w:t>hozzanak létre.</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Például a hitelezők nem jogosultak arra, hogy </w:t>
      </w:r>
      <w:proofErr w:type="spellStart"/>
      <w:r w:rsidRPr="003249D9">
        <w:rPr>
          <w:rFonts w:asciiTheme="minorHAnsi" w:hAnsiTheme="minorHAnsi"/>
        </w:rPr>
        <w:t>restrukturálási</w:t>
      </w:r>
      <w:proofErr w:type="spellEnd"/>
      <w:r w:rsidRPr="003249D9">
        <w:rPr>
          <w:rFonts w:asciiTheme="minorHAnsi" w:hAnsiTheme="minorHAnsi"/>
        </w:rPr>
        <w:t xml:space="preserve"> megoldásokra – például az adós menedzsmentjének megváltoztatására – javaslatot tegyenek. A gyakorlatban a </w:t>
      </w:r>
      <w:r w:rsidR="004E7954">
        <w:rPr>
          <w:rFonts w:asciiTheme="minorHAnsi" w:hAnsiTheme="minorHAnsi"/>
        </w:rPr>
        <w:t>jelenlegi menedzsment</w:t>
      </w:r>
      <w:r w:rsidRPr="003249D9">
        <w:rPr>
          <w:rFonts w:asciiTheme="minorHAnsi" w:hAnsiTheme="minorHAnsi"/>
        </w:rPr>
        <w:t xml:space="preserve"> vagy a </w:t>
      </w:r>
      <w:r w:rsidR="004E7954">
        <w:rPr>
          <w:rFonts w:asciiTheme="minorHAnsi" w:hAnsiTheme="minorHAnsi"/>
        </w:rPr>
        <w:t>tulajdonosok</w:t>
      </w:r>
      <w:r w:rsidR="004E7954" w:rsidRPr="003249D9">
        <w:rPr>
          <w:rFonts w:asciiTheme="minorHAnsi" w:hAnsiTheme="minorHAnsi"/>
        </w:rPr>
        <w:t xml:space="preserve"> </w:t>
      </w:r>
      <w:r w:rsidRPr="003249D9">
        <w:rPr>
          <w:rFonts w:asciiTheme="minorHAnsi" w:hAnsiTheme="minorHAnsi"/>
        </w:rPr>
        <w:t xml:space="preserve">esetenként meggátolhatják a </w:t>
      </w:r>
      <w:proofErr w:type="spellStart"/>
      <w:r w:rsidRPr="003249D9">
        <w:rPr>
          <w:rFonts w:asciiTheme="minorHAnsi" w:hAnsiTheme="minorHAnsi"/>
        </w:rPr>
        <w:t>restrukturálást</w:t>
      </w:r>
      <w:proofErr w:type="spellEnd"/>
      <w:r w:rsidRPr="003249D9">
        <w:rPr>
          <w:rFonts w:asciiTheme="minorHAnsi" w:hAnsiTheme="minorHAnsi"/>
        </w:rPr>
        <w: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Megjegyzendő, hogy hitelezői minőségben számos különböző vállalat vesz részt csődeljárásokban. Olyan rendkívül összetett csoportról van szó, amelyben nemcsak kereskedelmi bankokat találunk, hanem egyéb hitelezőket is, például kormányzati hatóságokat, amelyek nem szükségszerűen érdekeltek az adós </w:t>
      </w:r>
      <w:proofErr w:type="spellStart"/>
      <w:r w:rsidRPr="003249D9">
        <w:rPr>
          <w:rFonts w:asciiTheme="minorHAnsi" w:hAnsiTheme="minorHAnsi"/>
        </w:rPr>
        <w:t>restrukturálásában</w:t>
      </w:r>
      <w:proofErr w:type="spellEnd"/>
      <w:r w:rsidRPr="003249D9">
        <w:rPr>
          <w:rFonts w:asciiTheme="minorHAnsi" w:hAnsiTheme="minorHAnsi"/>
        </w:rPr>
        <w: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lastRenderedPageBreak/>
        <w:t xml:space="preserve">Az adóssal szembeni csődeljárás során a hitelezők között nincs megfelelő együttműködés. A bankokat illetően a gyakorlatban a </w:t>
      </w:r>
      <w:proofErr w:type="gramStart"/>
      <w:r w:rsidRPr="003249D9">
        <w:rPr>
          <w:rFonts w:asciiTheme="minorHAnsi" w:hAnsiTheme="minorHAnsi"/>
        </w:rPr>
        <w:t>„</w:t>
      </w:r>
      <w:r w:rsidR="004E7954">
        <w:rPr>
          <w:rFonts w:asciiTheme="minorHAnsi" w:hAnsiTheme="minorHAnsi"/>
        </w:rPr>
        <w:t>kiszolgálás</w:t>
      </w:r>
      <w:proofErr w:type="gramEnd"/>
      <w:r w:rsidR="004E7954" w:rsidRPr="003249D9">
        <w:rPr>
          <w:rFonts w:asciiTheme="minorHAnsi" w:hAnsiTheme="minorHAnsi"/>
        </w:rPr>
        <w:t xml:space="preserve"> </w:t>
      </w:r>
      <w:r w:rsidRPr="003249D9">
        <w:rPr>
          <w:rFonts w:asciiTheme="minorHAnsi" w:hAnsiTheme="minorHAnsi"/>
        </w:rPr>
        <w:t xml:space="preserve">érkezési sorrendben” elv érvényesül: a bankok közötti együttműködésre nincsenek általánosan elfogadott szabályok, noha „Budapest </w:t>
      </w:r>
      <w:r w:rsidR="004E7954">
        <w:rPr>
          <w:rFonts w:asciiTheme="minorHAnsi" w:hAnsiTheme="minorHAnsi"/>
        </w:rPr>
        <w:t>Elvek</w:t>
      </w:r>
      <w:r w:rsidRPr="003249D9">
        <w:rPr>
          <w:rFonts w:asciiTheme="minorHAnsi" w:hAnsiTheme="minorHAnsi"/>
        </w:rPr>
        <w:t xml:space="preserve">” néven számos </w:t>
      </w:r>
      <w:proofErr w:type="spellStart"/>
      <w:r w:rsidRPr="003249D9">
        <w:rPr>
          <w:rFonts w:asciiTheme="minorHAnsi" w:hAnsiTheme="minorHAnsi"/>
        </w:rPr>
        <w:t>restrukturálási</w:t>
      </w:r>
      <w:proofErr w:type="spellEnd"/>
      <w:r w:rsidRPr="003249D9">
        <w:rPr>
          <w:rFonts w:asciiTheme="minorHAnsi" w:hAnsiTheme="minorHAnsi"/>
        </w:rPr>
        <w:t xml:space="preserve"> elv létezik.</w:t>
      </w:r>
      <w:r w:rsidRPr="003249D9">
        <w:rPr>
          <w:rStyle w:val="FootnoteReference"/>
          <w:rFonts w:asciiTheme="minorHAnsi" w:hAnsiTheme="minorHAnsi"/>
        </w:rPr>
        <w:footnoteReference w:id="12"/>
      </w:r>
      <w:r w:rsidRPr="003249D9">
        <w:rPr>
          <w:rFonts w:asciiTheme="minorHAnsi" w:hAnsiTheme="minorHAnsi"/>
        </w:rPr>
        <w:t xml:space="preserve"> </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hitelezőknek – nemcsak a bankoknak, hanem a beszállítóknak is – tekintettel kell lenniük arra, hogy a követelésük</w:t>
      </w:r>
      <w:r w:rsidR="004E7954">
        <w:rPr>
          <w:rFonts w:asciiTheme="minorHAnsi" w:hAnsiTheme="minorHAnsi"/>
        </w:rPr>
        <w:t xml:space="preserve"> elengedésével</w:t>
      </w:r>
      <w:r w:rsidRPr="003249D9">
        <w:rPr>
          <w:rFonts w:asciiTheme="minorHAnsi" w:hAnsiTheme="minorHAnsi"/>
        </w:rPr>
        <w:t xml:space="preserve"> milyen mértékben teszik kockára piaci hírnevüket, továbbá ennek a jövőben milyen hatása lehet a többi partnerükre nézve. </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Merev bírósági gyakorlat a csődegyezség tartalma tekintetében:</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Az adósság elengedésén kívül több olyan gyakorlati </w:t>
      </w:r>
      <w:proofErr w:type="spellStart"/>
      <w:r w:rsidRPr="003249D9">
        <w:rPr>
          <w:rFonts w:asciiTheme="minorHAnsi" w:hAnsiTheme="minorHAnsi"/>
        </w:rPr>
        <w:t>restrukturálási</w:t>
      </w:r>
      <w:proofErr w:type="spellEnd"/>
      <w:r w:rsidRPr="003249D9">
        <w:rPr>
          <w:rFonts w:asciiTheme="minorHAnsi" w:hAnsiTheme="minorHAnsi"/>
        </w:rPr>
        <w:t xml:space="preserve"> megoldás is létezik, amelyek teljes körű pontosítása sem a jogi keretszabályok, sem a jogalkalmazás szintjén nem történt meg. </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Csődtörvény csak egy rövid, nem teljes körű, példaszerű felsorolást tartalmaz csődegyezségbe belefoglalható témákról. Ilyen lehet például a gazdálkodó szervezetben részesedés szerzése (</w:t>
      </w:r>
      <w:proofErr w:type="spellStart"/>
      <w:r w:rsidRPr="00D47A2A">
        <w:rPr>
          <w:rFonts w:asciiTheme="minorHAnsi" w:hAnsiTheme="minorHAnsi"/>
        </w:rPr>
        <w:t>debt-to-equity</w:t>
      </w:r>
      <w:proofErr w:type="spellEnd"/>
      <w:r w:rsidRPr="00D47A2A">
        <w:rPr>
          <w:rFonts w:asciiTheme="minorHAnsi" w:hAnsiTheme="minorHAnsi"/>
        </w:rPr>
        <w:t xml:space="preserve"> </w:t>
      </w:r>
      <w:proofErr w:type="spellStart"/>
      <w:r w:rsidRPr="00D47A2A">
        <w:rPr>
          <w:rFonts w:asciiTheme="minorHAnsi" w:hAnsiTheme="minorHAnsi"/>
        </w:rPr>
        <w:t>swap</w:t>
      </w:r>
      <w:proofErr w:type="spellEnd"/>
      <w:r w:rsidRPr="003249D9">
        <w:rPr>
          <w:rFonts w:asciiTheme="minorHAnsi" w:hAnsiTheme="minorHAnsi"/>
        </w:rPr>
        <w:t>), valamint a követelések lejárati határidejének meghosszabbítása, illetve a követelések</w:t>
      </w:r>
      <w:r w:rsidR="004E7954">
        <w:rPr>
          <w:rFonts w:asciiTheme="minorHAnsi" w:hAnsiTheme="minorHAnsi"/>
        </w:rPr>
        <w:t xml:space="preserve"> elengedése</w:t>
      </w:r>
      <w:r w:rsidRPr="003249D9">
        <w:rPr>
          <w:rFonts w:asciiTheme="minorHAnsi" w:hAnsiTheme="minorHAnsi"/>
        </w:rPr>
        <w:t xml:space="preserve">. További részletes rendelkezések hiányában problémás lehet, hogy az említett megállapodásokat hogyan </w:t>
      </w:r>
      <w:r w:rsidR="004E7954">
        <w:rPr>
          <w:rFonts w:asciiTheme="minorHAnsi" w:hAnsiTheme="minorHAnsi"/>
        </w:rPr>
        <w:t xml:space="preserve">foglalják bele </w:t>
      </w:r>
      <w:proofErr w:type="gramStart"/>
      <w:r w:rsidR="004E7954">
        <w:rPr>
          <w:rFonts w:asciiTheme="minorHAnsi" w:hAnsiTheme="minorHAnsi"/>
        </w:rPr>
        <w:t xml:space="preserve">a </w:t>
      </w:r>
      <w:r w:rsidRPr="003249D9">
        <w:rPr>
          <w:rFonts w:asciiTheme="minorHAnsi" w:hAnsiTheme="minorHAnsi"/>
        </w:rPr>
        <w:t xml:space="preserve"> bíróság</w:t>
      </w:r>
      <w:proofErr w:type="gramEnd"/>
      <w:r w:rsidRPr="003249D9">
        <w:rPr>
          <w:rFonts w:asciiTheme="minorHAnsi" w:hAnsiTheme="minorHAnsi"/>
        </w:rPr>
        <w:t xml:space="preserve"> által </w:t>
      </w:r>
      <w:r w:rsidR="004E7954">
        <w:rPr>
          <w:rFonts w:asciiTheme="minorHAnsi" w:hAnsiTheme="minorHAnsi"/>
        </w:rPr>
        <w:t xml:space="preserve">jóváhagyandó </w:t>
      </w:r>
      <w:r w:rsidRPr="003249D9">
        <w:rPr>
          <w:rFonts w:asciiTheme="minorHAnsi" w:hAnsiTheme="minorHAnsi"/>
        </w:rPr>
        <w:t>csődegyezségbe.</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gazdálkodó szervezetben részesedés szerzése (</w:t>
      </w:r>
      <w:proofErr w:type="spellStart"/>
      <w:r w:rsidRPr="00D47A2A">
        <w:rPr>
          <w:rFonts w:asciiTheme="minorHAnsi" w:hAnsiTheme="minorHAnsi"/>
        </w:rPr>
        <w:t>debt-to-equity</w:t>
      </w:r>
      <w:proofErr w:type="spellEnd"/>
      <w:r w:rsidRPr="00D47A2A">
        <w:rPr>
          <w:rFonts w:asciiTheme="minorHAnsi" w:hAnsiTheme="minorHAnsi"/>
        </w:rPr>
        <w:t xml:space="preserve"> </w:t>
      </w:r>
      <w:proofErr w:type="spellStart"/>
      <w:r w:rsidRPr="00D47A2A">
        <w:rPr>
          <w:rFonts w:asciiTheme="minorHAnsi" w:hAnsiTheme="minorHAnsi"/>
        </w:rPr>
        <w:t>swap</w:t>
      </w:r>
      <w:proofErr w:type="spellEnd"/>
      <w:r w:rsidRPr="003249D9">
        <w:rPr>
          <w:rFonts w:asciiTheme="minorHAnsi" w:hAnsiTheme="minorHAnsi"/>
        </w:rPr>
        <w:t>) a gyakorlatban – bizonyos esetekben – a csődegyezség fontos része lehet. Ellentétben a tőke és a kamatok csökkentésével („hajvágás”) a gazdálkodó szervezetben való részesedésszerzés esetében a hitelező profitra tehet szert, ha a vállalatnál később visszaáll a normál üzletmenet.</w:t>
      </w:r>
      <w:r w:rsidR="00405471">
        <w:rPr>
          <w:rFonts w:asciiTheme="minorHAnsi" w:hAnsiTheme="minorHAnsi"/>
        </w:rPr>
        <w:t xml:space="preserve"> </w:t>
      </w:r>
      <w:r w:rsidRPr="003249D9">
        <w:rPr>
          <w:rFonts w:asciiTheme="minorHAnsi" w:hAnsiTheme="minorHAnsi"/>
        </w:rPr>
        <w:t xml:space="preserve">A bírák által alkalmazott megközelítési mód értelmében a csődegyezségnek az adóssal szemben végrehajthatónak kell lennie, míg a gazdálkodó szervezetben való részesedésszerzés az aktuális és a későbbi </w:t>
      </w:r>
      <w:r w:rsidR="004E7954">
        <w:rPr>
          <w:rFonts w:asciiTheme="minorHAnsi" w:hAnsiTheme="minorHAnsi"/>
        </w:rPr>
        <w:t>tulajdonos</w:t>
      </w:r>
      <w:r w:rsidR="004E7954" w:rsidRPr="003249D9">
        <w:rPr>
          <w:rFonts w:asciiTheme="minorHAnsi" w:hAnsiTheme="minorHAnsi"/>
        </w:rPr>
        <w:t xml:space="preserve"> </w:t>
      </w:r>
      <w:r w:rsidRPr="003249D9">
        <w:rPr>
          <w:rFonts w:asciiTheme="minorHAnsi" w:hAnsiTheme="minorHAnsi"/>
        </w:rPr>
        <w:t>megállapodása, amelynek az adós csak a „</w:t>
      </w:r>
      <w:r w:rsidR="004E7954">
        <w:rPr>
          <w:rFonts w:asciiTheme="minorHAnsi" w:hAnsiTheme="minorHAnsi"/>
        </w:rPr>
        <w:t>tárgya</w:t>
      </w:r>
      <w:r w:rsidRPr="003249D9">
        <w:rPr>
          <w:rFonts w:asciiTheme="minorHAnsi" w:hAnsiTheme="minorHAnsi"/>
        </w:rPr>
        <w:t xml:space="preserve">”. Ezt a </w:t>
      </w:r>
      <w:r w:rsidR="004E7954">
        <w:rPr>
          <w:rFonts w:asciiTheme="minorHAnsi" w:hAnsiTheme="minorHAnsi"/>
        </w:rPr>
        <w:t>kérdést tisztázni kell</w:t>
      </w:r>
      <w:r w:rsidRPr="003249D9">
        <w:rPr>
          <w:rFonts w:asciiTheme="minorHAnsi" w:hAnsiTheme="minorHAnsi"/>
        </w:rPr>
        <w:t xml:space="preserve"> a jogi keretrendszerben, arra ösztönözve ezzel a befektetőket, hogy szerezzenek tulajdont a csődeljárás alatt álló vállalatokban.</w:t>
      </w:r>
    </w:p>
    <w:p w:rsidR="00BF6ACB" w:rsidRPr="003249D9" w:rsidRDefault="00AB7CFF" w:rsidP="00BF6ACB">
      <w:pPr>
        <w:pStyle w:val="TASTextheading3"/>
        <w:rPr>
          <w:rFonts w:asciiTheme="minorHAnsi" w:hAnsiTheme="minorHAnsi"/>
        </w:rPr>
      </w:pPr>
      <w:r w:rsidRPr="003249D9">
        <w:rPr>
          <w:rFonts w:asciiTheme="minorHAnsi" w:hAnsiTheme="minorHAnsi"/>
        </w:rPr>
        <w:t>Potenciális megoldási lehetőségek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 csődeljárások </w:t>
      </w:r>
      <w:proofErr w:type="spellStart"/>
      <w:r w:rsidRPr="003249D9">
        <w:rPr>
          <w:rFonts w:asciiTheme="minorHAnsi" w:hAnsiTheme="minorHAnsi"/>
        </w:rPr>
        <w:t>restrukturálási</w:t>
      </w:r>
      <w:proofErr w:type="spellEnd"/>
      <w:r w:rsidRPr="003249D9">
        <w:rPr>
          <w:rFonts w:asciiTheme="minorHAnsi" w:hAnsiTheme="minorHAnsi"/>
        </w:rPr>
        <w:t xml:space="preserve"> jellegét a következő ajánlások figyelembe vételével célszerű erősíteni:</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Át kell gondolni a reorganizációs terv elkészítésének időzítését és a terv tartalmát. Az időzítés tekintetében arra kell ösztönözni az adóst, hogy már előre megfelelően készüljön fel a csődeljárásra. Ebben a vonatkozásban elő lehetne írni, hogy a csődeljárás megindításakor már készen legyen legalább egy előzetes üzleti terv, reorganizációs terv vagy független könyvvizsgálói jelentés, majd ezt követően ésszerű időn belül készüljön el egy végleges és kellőképpen kidolgozott terv.</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Az alkalmazandó jogszabályokban jobban ki lehetne dolgozni a kötelező tartalmi elemeket az előzetes és a végleges üzleti/reorganizációs tervet illetően. Például a következőket lehetne beépíteni a tervekbe: az adós fizetési kötelezettségeinek összefoglalása; az adós egyéb, nem fizetési jellegű, a működésére esetleg jelentős hatással lévő kötelezettségei; az adósnak az eljárás során tervezett jövedelmei és költségei; az adós működéshez és </w:t>
      </w:r>
      <w:proofErr w:type="spellStart"/>
      <w:r w:rsidRPr="003249D9">
        <w:rPr>
          <w:rFonts w:asciiTheme="minorHAnsi" w:hAnsiTheme="minorHAnsi"/>
        </w:rPr>
        <w:t>restrukturálásához</w:t>
      </w:r>
      <w:proofErr w:type="spellEnd"/>
      <w:r w:rsidRPr="003249D9">
        <w:rPr>
          <w:rFonts w:asciiTheme="minorHAnsi" w:hAnsiTheme="minorHAnsi"/>
        </w:rPr>
        <w:t xml:space="preserve"> kapcsolódó pénzügyi erőforrások; valamint az adósnak a működése helyreállítását célzó részletes tervei, ideértve (adott esetben) a befektetők bevonására vonatkozó információkat is.</w:t>
      </w:r>
    </w:p>
    <w:p w:rsidR="00BF6ACB" w:rsidRPr="003249D9" w:rsidRDefault="00AB7CFF" w:rsidP="009A73FD">
      <w:pPr>
        <w:pStyle w:val="TASBullet2"/>
        <w:numPr>
          <w:ilvl w:val="1"/>
          <w:numId w:val="46"/>
        </w:numPr>
        <w:rPr>
          <w:rFonts w:asciiTheme="minorHAnsi" w:hAnsiTheme="minorHAnsi"/>
        </w:rPr>
      </w:pPr>
      <w:proofErr w:type="spellStart"/>
      <w:r w:rsidRPr="003249D9">
        <w:rPr>
          <w:rFonts w:asciiTheme="minorHAnsi" w:hAnsiTheme="minorHAnsi"/>
        </w:rPr>
        <w:t>Restrukturálási</w:t>
      </w:r>
      <w:proofErr w:type="spellEnd"/>
      <w:r w:rsidRPr="003249D9">
        <w:rPr>
          <w:rFonts w:asciiTheme="minorHAnsi" w:hAnsiTheme="minorHAnsi"/>
        </w:rPr>
        <w:t xml:space="preserve"> megoldásokra a hitelezők is tehetnének javaslatot.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Célszerű lenne megfontolni egy „gyorsított” csődeljárás bevezetését. Nevezetesen az adós számára lehetővé lehetne tenni, hogy a csődeljárás megindítása előtt tervet készítsen és azt jóváhagyassa a hitelezői többségével. Így élvezheti egy hatékonyabb reorganizációs eljárás előnyeit, és csökkentheti a csődeljárás időtartamát.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Elősegíthetné a </w:t>
      </w:r>
      <w:r w:rsidR="004E7954">
        <w:rPr>
          <w:rFonts w:asciiTheme="minorHAnsi" w:hAnsiTheme="minorHAnsi"/>
        </w:rPr>
        <w:t>„</w:t>
      </w:r>
      <w:r w:rsidRPr="003249D9">
        <w:rPr>
          <w:rFonts w:asciiTheme="minorHAnsi" w:hAnsiTheme="minorHAnsi"/>
        </w:rPr>
        <w:t>mentőfinanszírozást</w:t>
      </w:r>
      <w:r w:rsidR="004E7954">
        <w:rPr>
          <w:rFonts w:asciiTheme="minorHAnsi" w:hAnsiTheme="minorHAnsi"/>
        </w:rPr>
        <w:t>”</w:t>
      </w:r>
      <w:r w:rsidRPr="003249D9">
        <w:rPr>
          <w:rFonts w:asciiTheme="minorHAnsi" w:hAnsiTheme="minorHAnsi"/>
        </w:rPr>
        <w:t xml:space="preserve">, ha az érintett hitelezők olyan további jogokat kapnának, amelyek: (i) lehetővé tennék számukra a </w:t>
      </w:r>
      <w:r w:rsidR="004E7954">
        <w:rPr>
          <w:rFonts w:asciiTheme="minorHAnsi" w:hAnsiTheme="minorHAnsi"/>
        </w:rPr>
        <w:t>„</w:t>
      </w:r>
      <w:r w:rsidRPr="003249D9">
        <w:rPr>
          <w:rFonts w:asciiTheme="minorHAnsi" w:hAnsiTheme="minorHAnsi"/>
        </w:rPr>
        <w:t>mentőfinanszírozásból</w:t>
      </w:r>
      <w:r w:rsidR="004E7954">
        <w:rPr>
          <w:rFonts w:asciiTheme="minorHAnsi" w:hAnsiTheme="minorHAnsi"/>
        </w:rPr>
        <w:t>”</w:t>
      </w:r>
      <w:r w:rsidRPr="003249D9">
        <w:rPr>
          <w:rFonts w:asciiTheme="minorHAnsi" w:hAnsiTheme="minorHAnsi"/>
        </w:rPr>
        <w:t xml:space="preserve"> származó követeléseik kedvezőbb feltételek melletti behajtását; és (</w:t>
      </w:r>
      <w:proofErr w:type="spellStart"/>
      <w:r w:rsidRPr="003249D9">
        <w:rPr>
          <w:rFonts w:asciiTheme="minorHAnsi" w:hAnsiTheme="minorHAnsi"/>
        </w:rPr>
        <w:t>ii</w:t>
      </w:r>
      <w:proofErr w:type="spellEnd"/>
      <w:r w:rsidRPr="003249D9">
        <w:rPr>
          <w:rFonts w:asciiTheme="minorHAnsi" w:hAnsiTheme="minorHAnsi"/>
        </w:rPr>
        <w:t>) csökkentenék a mentőfinanszírozáshoz kapcsolódó esetleges jogi kockázatot. A mentőfinanszírozást biztosító hitelezők a következő előnyöket élvezhetnék:</w:t>
      </w:r>
    </w:p>
    <w:p w:rsidR="00BF6ACB" w:rsidRPr="003249D9" w:rsidRDefault="00AB7CFF" w:rsidP="009A73FD">
      <w:pPr>
        <w:pStyle w:val="TASBullet2"/>
        <w:numPr>
          <w:ilvl w:val="0"/>
          <w:numId w:val="42"/>
        </w:numPr>
        <w:rPr>
          <w:rFonts w:asciiTheme="minorHAnsi" w:hAnsiTheme="minorHAnsi"/>
        </w:rPr>
      </w:pPr>
      <w:r w:rsidRPr="003249D9">
        <w:rPr>
          <w:rFonts w:asciiTheme="minorHAnsi" w:hAnsiTheme="minorHAnsi"/>
        </w:rPr>
        <w:lastRenderedPageBreak/>
        <w:t>bármely későbbi felszámolás során a felszámolónak biztosított megtámadási jogok nem vonatkoznának az említett ügyletekre (lásd a Jogi háttér című fejezet 5.9. (</w:t>
      </w:r>
      <w:r w:rsidR="004E7954" w:rsidRPr="004E7954">
        <w:rPr>
          <w:rFonts w:asciiTheme="minorHAnsi" w:hAnsiTheme="minorHAnsi"/>
          <w:i/>
        </w:rPr>
        <w:t>Az érvénytelenítés kockázatának kitett ügyletek</w:t>
      </w:r>
      <w:r w:rsidRPr="003249D9">
        <w:rPr>
          <w:rFonts w:asciiTheme="minorHAnsi" w:hAnsiTheme="minorHAnsi"/>
        </w:rPr>
        <w:t>) szakaszát;</w:t>
      </w:r>
    </w:p>
    <w:p w:rsidR="00BF6ACB" w:rsidRPr="003249D9" w:rsidRDefault="00AB7CFF" w:rsidP="009A73FD">
      <w:pPr>
        <w:pStyle w:val="TASBullet2"/>
        <w:numPr>
          <w:ilvl w:val="0"/>
          <w:numId w:val="42"/>
        </w:numPr>
        <w:rPr>
          <w:rFonts w:asciiTheme="minorHAnsi" w:hAnsiTheme="minorHAnsi"/>
        </w:rPr>
      </w:pPr>
      <w:r w:rsidRPr="003249D9">
        <w:rPr>
          <w:rFonts w:asciiTheme="minorHAnsi" w:hAnsiTheme="minorHAnsi"/>
        </w:rPr>
        <w:t xml:space="preserve">bármely későbbi felszámolás során az említett hitelezők az adós műveletei tekintetében nem </w:t>
      </w:r>
      <w:proofErr w:type="gramStart"/>
      <w:r w:rsidRPr="003249D9">
        <w:rPr>
          <w:rFonts w:asciiTheme="minorHAnsi" w:hAnsiTheme="minorHAnsi"/>
        </w:rPr>
        <w:t>az„</w:t>
      </w:r>
      <w:proofErr w:type="gramEnd"/>
      <w:r w:rsidRPr="003249D9">
        <w:rPr>
          <w:rFonts w:asciiTheme="minorHAnsi" w:hAnsiTheme="minorHAnsi"/>
        </w:rPr>
        <w:t>árnyékigazgatók” besorolást kapnák (lásd a Jogi háttér című fejezet 5.5. (</w:t>
      </w:r>
      <w:r w:rsidRPr="003249D9">
        <w:rPr>
          <w:rFonts w:asciiTheme="minorHAnsi" w:hAnsiTheme="minorHAnsi"/>
          <w:i/>
        </w:rPr>
        <w:t>A</w:t>
      </w:r>
      <w:r w:rsidR="004E7954">
        <w:rPr>
          <w:rFonts w:asciiTheme="minorHAnsi" w:hAnsiTheme="minorHAnsi"/>
          <w:i/>
        </w:rPr>
        <w:t xml:space="preserve"> vezető tisztségviselők feladata és felelőssége</w:t>
      </w:r>
      <w:r w:rsidRPr="003249D9">
        <w:rPr>
          <w:rFonts w:asciiTheme="minorHAnsi" w:hAnsiTheme="minorHAnsi"/>
        </w:rPr>
        <w:t>) szakaszát;</w:t>
      </w:r>
    </w:p>
    <w:p w:rsidR="00BF6ACB" w:rsidRPr="003249D9" w:rsidRDefault="00AB7CFF" w:rsidP="009A73FD">
      <w:pPr>
        <w:pStyle w:val="TASBullet2"/>
        <w:numPr>
          <w:ilvl w:val="0"/>
          <w:numId w:val="42"/>
        </w:numPr>
        <w:rPr>
          <w:rFonts w:asciiTheme="minorHAnsi" w:hAnsiTheme="minorHAnsi"/>
        </w:rPr>
      </w:pPr>
      <w:r w:rsidRPr="003249D9">
        <w:rPr>
          <w:rFonts w:asciiTheme="minorHAnsi" w:hAnsiTheme="minorHAnsi"/>
        </w:rPr>
        <w:t xml:space="preserve">speciális prioritás, például prioritás a nem biztosított hitelezőkkel szemben bármely későbbi felszámolás alkalmával. </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Megfontolás tárgyát képezhetné a</w:t>
      </w:r>
      <w:r w:rsidR="004E7954">
        <w:rPr>
          <w:rFonts w:asciiTheme="minorHAnsi" w:hAnsiTheme="minorHAnsi"/>
        </w:rPr>
        <w:t>nnak újbóli bevezetése, hogy a</w:t>
      </w:r>
      <w:r w:rsidRPr="003249D9">
        <w:rPr>
          <w:rFonts w:asciiTheme="minorHAnsi" w:hAnsiTheme="minorHAnsi"/>
        </w:rPr>
        <w:t xml:space="preserve"> hitelezők csődeljárást indít</w:t>
      </w:r>
      <w:r w:rsidR="004E7954">
        <w:rPr>
          <w:rFonts w:asciiTheme="minorHAnsi" w:hAnsiTheme="minorHAnsi"/>
        </w:rPr>
        <w:t>has</w:t>
      </w:r>
      <w:r w:rsidRPr="003249D9">
        <w:rPr>
          <w:rFonts w:asciiTheme="minorHAnsi" w:hAnsiTheme="minorHAnsi"/>
        </w:rPr>
        <w:t xml:space="preserve">sanak az adósukkal szemben. Ha a jogi keretrendszer a csődeljárásokban szélesítené a hitelezők jogkörét (pl. a vagyonfelügyelő kiválasztása, </w:t>
      </w:r>
      <w:proofErr w:type="spellStart"/>
      <w:r w:rsidRPr="003249D9">
        <w:rPr>
          <w:rFonts w:asciiTheme="minorHAnsi" w:hAnsiTheme="minorHAnsi"/>
        </w:rPr>
        <w:t>restrukturálási</w:t>
      </w:r>
      <w:proofErr w:type="spellEnd"/>
      <w:r w:rsidRPr="003249D9">
        <w:rPr>
          <w:rFonts w:asciiTheme="minorHAnsi" w:hAnsiTheme="minorHAnsi"/>
        </w:rPr>
        <w:t xml:space="preserve"> megoldásokra való javaslattétel stb.), előnyös lenne, ha a hitelezők számára</w:t>
      </w:r>
      <w:r w:rsidR="004E7954">
        <w:rPr>
          <w:rFonts w:asciiTheme="minorHAnsi" w:hAnsiTheme="minorHAnsi"/>
        </w:rPr>
        <w:t xml:space="preserve"> ismét</w:t>
      </w:r>
      <w:r w:rsidRPr="003249D9">
        <w:rPr>
          <w:rFonts w:asciiTheme="minorHAnsi" w:hAnsiTheme="minorHAnsi"/>
        </w:rPr>
        <w:t xml:space="preserve"> lehetővé válna csődeljárás kezdeményezése, ami a hitelezők részéről a proaktív megközelítés elterjedését eredményezhetné. </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Általában véve egy kiszámítható és stabil jogi környezet jobban ösztönözne az ésszerű üzleti tervezésre, és </w:t>
      </w:r>
      <w:proofErr w:type="gramStart"/>
      <w:r w:rsidRPr="003249D9">
        <w:rPr>
          <w:rFonts w:asciiTheme="minorHAnsi" w:hAnsiTheme="minorHAnsi"/>
        </w:rPr>
        <w:t>ezáltal</w:t>
      </w:r>
      <w:proofErr w:type="gramEnd"/>
      <w:r w:rsidRPr="003249D9">
        <w:rPr>
          <w:rFonts w:asciiTheme="minorHAnsi" w:hAnsiTheme="minorHAnsi"/>
        </w:rPr>
        <w:t xml:space="preserve"> a hosszú távú, sikeres </w:t>
      </w:r>
      <w:proofErr w:type="spellStart"/>
      <w:r w:rsidRPr="003249D9">
        <w:rPr>
          <w:rFonts w:asciiTheme="minorHAnsi" w:hAnsiTheme="minorHAnsi"/>
        </w:rPr>
        <w:t>restrukturálásra</w:t>
      </w:r>
      <w:proofErr w:type="spellEnd"/>
      <w:r w:rsidRPr="003249D9">
        <w:rPr>
          <w:rFonts w:asciiTheme="minorHAnsi" w:hAnsiTheme="minorHAnsi"/>
        </w:rPr>
        <w:t xml:space="preserve"> is.</w:t>
      </w:r>
    </w:p>
    <w:p w:rsidR="00BF6ACB" w:rsidRPr="003249D9" w:rsidRDefault="00AB7CFF" w:rsidP="00BF6ACB">
      <w:pPr>
        <w:pStyle w:val="TASTextheading3"/>
        <w:rPr>
          <w:rFonts w:asciiTheme="minorHAnsi" w:hAnsiTheme="minorHAnsi"/>
        </w:rPr>
      </w:pPr>
      <w:r w:rsidRPr="003249D9">
        <w:rPr>
          <w:rFonts w:asciiTheme="minorHAnsi" w:hAnsiTheme="minorHAnsi"/>
        </w:rPr>
        <w:t>6.1.3. Az adósok visszaélése a jogi keretrendszerrel</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problémák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követelés vitatása a hitelezőknek a szavazásból való kizárása érdekében:</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Több érintett fél jelezte, hogy ha a rosszhiszemű adósok ki akarják zárni a szavazásból valamelyik hitelezőt, akkor a csődeljárás megindítása előtt </w:t>
      </w:r>
      <w:r w:rsidR="004E7954">
        <w:rPr>
          <w:rFonts w:asciiTheme="minorHAnsi" w:hAnsiTheme="minorHAnsi"/>
        </w:rPr>
        <w:t>peres</w:t>
      </w:r>
      <w:r w:rsidR="004E7954" w:rsidRPr="003249D9">
        <w:rPr>
          <w:rFonts w:asciiTheme="minorHAnsi" w:hAnsiTheme="minorHAnsi"/>
        </w:rPr>
        <w:t xml:space="preserve"> </w:t>
      </w:r>
      <w:r w:rsidRPr="003249D9">
        <w:rPr>
          <w:rFonts w:asciiTheme="minorHAnsi" w:hAnsiTheme="minorHAnsi"/>
        </w:rPr>
        <w:t xml:space="preserve">eljárást kezdeményeznek vele szemben. Az adós által kezdeményezett </w:t>
      </w:r>
      <w:r w:rsidR="004E7954">
        <w:rPr>
          <w:rFonts w:asciiTheme="minorHAnsi" w:hAnsiTheme="minorHAnsi"/>
        </w:rPr>
        <w:t>peres</w:t>
      </w:r>
      <w:r w:rsidR="004E7954" w:rsidRPr="003249D9">
        <w:rPr>
          <w:rFonts w:asciiTheme="minorHAnsi" w:hAnsiTheme="minorHAnsi"/>
        </w:rPr>
        <w:t xml:space="preserve"> </w:t>
      </w:r>
      <w:r w:rsidRPr="003249D9">
        <w:rPr>
          <w:rFonts w:asciiTheme="minorHAnsi" w:hAnsiTheme="minorHAnsi"/>
        </w:rPr>
        <w:t>eljárás rendes bíróság előtt zajlik, határideje tekintetében nincsen korlátozó tényező. Így előfordulhat, hogy a vitatott besorolású követelés hitelezője a csődeljárás során egyáltalán nem tud élni szavazati jogával.</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vagyonfelügyelő és/vagy a csődbírák által követett hibás gyakorlat miatt a vagyonfelügyelő és/vagy a csődbíróság a követelés teljes összegét a vitatott kategóriába sorolhatja be még akkor is, ha az adós a bíróság előtt a követelésnek csak egy részét (például a késedelmi kamatot) vitatja. Úgy tűnik, hogy ez a gyakorlat változóban van: ugyanakkor a visszaélések elkerülése érdekében arra lenne szükség, hogy a jogi keretrendszerben egyértelmű rendelkezések megfogalmazására kerüljön sor.</w:t>
      </w:r>
    </w:p>
    <w:p w:rsidR="00BF6ACB" w:rsidRPr="003249D9" w:rsidRDefault="00AB7CFF" w:rsidP="00BF6ACB">
      <w:pPr>
        <w:pStyle w:val="TASTextheading3"/>
        <w:rPr>
          <w:rFonts w:asciiTheme="minorHAnsi" w:hAnsiTheme="minorHAnsi"/>
        </w:rPr>
      </w:pPr>
      <w:r w:rsidRPr="003249D9">
        <w:rPr>
          <w:rFonts w:asciiTheme="minorHAnsi" w:hAnsiTheme="minorHAnsi"/>
        </w:rPr>
        <w:t>Potenciális megoldási lehetőségek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Az adósok általi visszaélések megakadályozása vagy legalábbis csökkentése érdekében a Csődtörvényben egyértelműen meg kell határozni a vitatott követelés kritériumait: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Túlságosan bizonytalan az olyan „folyamatban lévő </w:t>
      </w:r>
      <w:r w:rsidR="004E7954">
        <w:rPr>
          <w:rFonts w:asciiTheme="minorHAnsi" w:hAnsiTheme="minorHAnsi"/>
        </w:rPr>
        <w:t>peres</w:t>
      </w:r>
      <w:r w:rsidR="004E7954" w:rsidRPr="003249D9">
        <w:rPr>
          <w:rFonts w:asciiTheme="minorHAnsi" w:hAnsiTheme="minorHAnsi"/>
        </w:rPr>
        <w:t xml:space="preserve"> </w:t>
      </w:r>
      <w:r w:rsidRPr="003249D9">
        <w:rPr>
          <w:rFonts w:asciiTheme="minorHAnsi" w:hAnsiTheme="minorHAnsi"/>
        </w:rPr>
        <w:t>eljárás”</w:t>
      </w:r>
      <w:proofErr w:type="spellStart"/>
      <w:r w:rsidRPr="003249D9">
        <w:rPr>
          <w:rFonts w:asciiTheme="minorHAnsi" w:hAnsiTheme="minorHAnsi"/>
        </w:rPr>
        <w:t>-ra</w:t>
      </w:r>
      <w:proofErr w:type="spellEnd"/>
      <w:r w:rsidRPr="003249D9">
        <w:rPr>
          <w:rFonts w:asciiTheme="minorHAnsi" w:hAnsiTheme="minorHAnsi"/>
        </w:rPr>
        <w:t xml:space="preserve"> való hivatkozás, amely esetben a követelést a vitatott kategóriába sorolják be. A jogalkotó szerveknek egyértelműen meg kellene fogalmazniuk, hogy a követelésnek csak az a konkrét része sorolható be vitatott követelésként, amelyre a folyamatban lévő </w:t>
      </w:r>
      <w:r w:rsidR="004E7954">
        <w:rPr>
          <w:rFonts w:asciiTheme="minorHAnsi" w:hAnsiTheme="minorHAnsi"/>
        </w:rPr>
        <w:t>peres</w:t>
      </w:r>
      <w:r w:rsidR="004E7954" w:rsidRPr="003249D9">
        <w:rPr>
          <w:rFonts w:asciiTheme="minorHAnsi" w:hAnsiTheme="minorHAnsi"/>
        </w:rPr>
        <w:t xml:space="preserve"> </w:t>
      </w:r>
      <w:r w:rsidRPr="003249D9">
        <w:rPr>
          <w:rFonts w:asciiTheme="minorHAnsi" w:hAnsiTheme="minorHAnsi"/>
        </w:rPr>
        <w:t xml:space="preserve">eljárás irányul; a követelés többi része viszont nem vitatott. </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vagyonfelügyelőnek és a csődbíróságnak különös figyelmet kell fordítania azokra a követelésekre, amelyekre vonatkozóan az adós a rövid idővel a csődeljárás megindítása előtt </w:t>
      </w:r>
      <w:r w:rsidR="004E7954">
        <w:rPr>
          <w:rFonts w:asciiTheme="minorHAnsi" w:hAnsiTheme="minorHAnsi"/>
        </w:rPr>
        <w:t>peres</w:t>
      </w:r>
      <w:r w:rsidR="004E7954" w:rsidRPr="003249D9">
        <w:rPr>
          <w:rFonts w:asciiTheme="minorHAnsi" w:hAnsiTheme="minorHAnsi"/>
        </w:rPr>
        <w:t xml:space="preserve"> </w:t>
      </w:r>
      <w:r w:rsidRPr="003249D9">
        <w:rPr>
          <w:rFonts w:asciiTheme="minorHAnsi" w:hAnsiTheme="minorHAnsi"/>
        </w:rPr>
        <w:t>eljárást kezdeményezett.</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problémák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Fiktív hitelezők:</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Az adósok a szavazást fiktív – akár biztosított, akár nem biztosított – követelések létrehozásával is befolyásolhatják. Mivel a vagyonfelügyelő és a bíróság nem végez részletes dokumentumvizsgálatot, e fiktív hitelezőket az eljárás során nagy valószínűséggel valódi hitelezőkként nyilvántartásba veszik.</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vagyonfelügyelőnek és/vagy a bíróságnak a legtöbb esetben – még akkor is, ha gyanítja, hogy a hitelező fiktív – nincs megfelelő jogszabályi felhatalmazása és kapacitása arra, hogy megvizsgálja a követelések tartalmát vagy a kapcsolódó igazoló dokumentumokat (pl. az adós könyvelését és a biztosítéki megállapodásokat). Egyes </w:t>
      </w:r>
      <w:r w:rsidR="001330AE">
        <w:rPr>
          <w:rFonts w:asciiTheme="minorHAnsi" w:hAnsiTheme="minorHAnsi"/>
        </w:rPr>
        <w:t xml:space="preserve">ilyen jogi </w:t>
      </w:r>
      <w:proofErr w:type="gramStart"/>
      <w:r w:rsidR="001330AE">
        <w:rPr>
          <w:rFonts w:asciiTheme="minorHAnsi" w:hAnsiTheme="minorHAnsi"/>
        </w:rPr>
        <w:t>személy</w:t>
      </w:r>
      <w:r w:rsidRPr="003249D9">
        <w:rPr>
          <w:rFonts w:asciiTheme="minorHAnsi" w:hAnsiTheme="minorHAnsi"/>
        </w:rPr>
        <w:t xml:space="preserve"> hitelezők</w:t>
      </w:r>
      <w:proofErr w:type="gramEnd"/>
      <w:r w:rsidRPr="003249D9">
        <w:rPr>
          <w:rFonts w:asciiTheme="minorHAnsi" w:hAnsiTheme="minorHAnsi"/>
        </w:rPr>
        <w:t xml:space="preserve"> bejegyzett székhelye </w:t>
      </w:r>
      <w:r w:rsidR="001330AE">
        <w:rPr>
          <w:rFonts w:asciiTheme="minorHAnsi" w:hAnsiTheme="minorHAnsi"/>
        </w:rPr>
        <w:t xml:space="preserve">valamely offshore államban </w:t>
      </w:r>
      <w:r w:rsidRPr="003249D9">
        <w:rPr>
          <w:rFonts w:asciiTheme="minorHAnsi" w:hAnsiTheme="minorHAnsi"/>
        </w:rPr>
        <w:t>van. Ez megnehezítheti a vonatkozó vállalati tulajdonosi kör nyomon követését.</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lastRenderedPageBreak/>
        <w:t xml:space="preserve">Általában mind a bírák, mind a hitelezők arról számolnak be, hogy az adósok számára nem nehéz visszaéléseket elkövetni a csődeljárások során. Így tehát a legtöbb esetben a csődeljárás kizárólag a felszámolás elhalasztását szolgálja azzal a céllal, hogy az adós és/vagy az adós </w:t>
      </w:r>
      <w:r w:rsidR="001330AE">
        <w:rPr>
          <w:rFonts w:asciiTheme="minorHAnsi" w:hAnsiTheme="minorHAnsi"/>
        </w:rPr>
        <w:t>tulajdonosai</w:t>
      </w:r>
      <w:r w:rsidR="001330AE" w:rsidRPr="003249D9">
        <w:rPr>
          <w:rFonts w:asciiTheme="minorHAnsi" w:hAnsiTheme="minorHAnsi"/>
        </w:rPr>
        <w:t xml:space="preserve"> </w:t>
      </w:r>
      <w:r w:rsidRPr="003249D9">
        <w:rPr>
          <w:rFonts w:asciiTheme="minorHAnsi" w:hAnsiTheme="minorHAnsi"/>
        </w:rPr>
        <w:t>tovább csökkenthessék a cégvagyont. Ez viszont növeli a hitelezők potenciális veszteségét.</w:t>
      </w:r>
    </w:p>
    <w:p w:rsidR="00BF6ACB" w:rsidRPr="003249D9" w:rsidRDefault="00AB7CFF" w:rsidP="00BF6ACB">
      <w:pPr>
        <w:pStyle w:val="TASTextheading3"/>
        <w:rPr>
          <w:rFonts w:asciiTheme="minorHAnsi" w:hAnsiTheme="minorHAnsi"/>
        </w:rPr>
      </w:pPr>
      <w:r w:rsidRPr="003249D9">
        <w:rPr>
          <w:rFonts w:asciiTheme="minorHAnsi" w:hAnsiTheme="minorHAnsi"/>
        </w:rPr>
        <w:t>Potenciális megoldási lehetőségek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fiktív hitelezők megfelelő kiszűrése:</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vagyonfelügyelő és a bíróságok jogait és kötelezettségeit célszerű lenne kiterjeszteni a hitelezők jogosultságának és megfelelő nyilvántartásba vételének ellenőrzésére, különös tekintettel azokra a hitelezőkre, amelyek feltehetően kapcsolatban állnak az adóssal vagy az adós </w:t>
      </w:r>
      <w:r w:rsidR="001330AE">
        <w:rPr>
          <w:rFonts w:asciiTheme="minorHAnsi" w:hAnsiTheme="minorHAnsi"/>
        </w:rPr>
        <w:t>tulajdonosaival</w:t>
      </w:r>
      <w:r w:rsidRPr="003249D9">
        <w:rPr>
          <w:rFonts w:asciiTheme="minorHAnsi" w:hAnsiTheme="minorHAnsi"/>
        </w:rPr>
        <w:t xml:space="preserve">, illetve olyan esetekben, amikor az ilyen kapcsolt fél viszonyban lévő hitelezők követelésének jogalapját más hitelezők megkérdőjelezik. Jelenleg a hitelezőnek csak ahhoz van joga, hogy </w:t>
      </w:r>
      <w:r w:rsidR="001330AE">
        <w:rPr>
          <w:rFonts w:asciiTheme="minorHAnsi" w:hAnsiTheme="minorHAnsi"/>
        </w:rPr>
        <w:t>kifogással éljen</w:t>
      </w:r>
      <w:r w:rsidR="001330AE" w:rsidRPr="003249D9">
        <w:rPr>
          <w:rFonts w:asciiTheme="minorHAnsi" w:hAnsiTheme="minorHAnsi"/>
        </w:rPr>
        <w:t xml:space="preserve"> </w:t>
      </w:r>
      <w:r w:rsidRPr="003249D9">
        <w:rPr>
          <w:rFonts w:asciiTheme="minorHAnsi" w:hAnsiTheme="minorHAnsi"/>
        </w:rPr>
        <w:t>a vagyonfelügyelő döntés</w:t>
      </w:r>
      <w:r w:rsidR="001330AE">
        <w:rPr>
          <w:rFonts w:asciiTheme="minorHAnsi" w:hAnsiTheme="minorHAnsi"/>
        </w:rPr>
        <w:t>e ellen</w:t>
      </w:r>
      <w:r w:rsidRPr="003249D9">
        <w:rPr>
          <w:rFonts w:asciiTheme="minorHAnsi" w:hAnsiTheme="minorHAnsi"/>
        </w:rPr>
        <w:t xml:space="preserve"> (mely szerint elfogadja vagy elutasítja más hitelezők követelését), de tekintettel a </w:t>
      </w:r>
      <w:r w:rsidR="001330AE">
        <w:rPr>
          <w:rFonts w:asciiTheme="minorHAnsi" w:hAnsiTheme="minorHAnsi"/>
        </w:rPr>
        <w:t>kifogásolási</w:t>
      </w:r>
      <w:r w:rsidR="001330AE" w:rsidRPr="003249D9">
        <w:rPr>
          <w:rFonts w:asciiTheme="minorHAnsi" w:hAnsiTheme="minorHAnsi"/>
        </w:rPr>
        <w:t xml:space="preserve"> </w:t>
      </w:r>
      <w:r w:rsidRPr="003249D9">
        <w:rPr>
          <w:rFonts w:asciiTheme="minorHAnsi" w:hAnsiTheme="minorHAnsi"/>
        </w:rPr>
        <w:t>eljárás időigényére és arra, hogy a vagyonfelügyelő csak korlátozott eszközökkel rendelkezik a</w:t>
      </w:r>
      <w:r w:rsidR="001330AE">
        <w:rPr>
          <w:rFonts w:asciiTheme="minorHAnsi" w:hAnsiTheme="minorHAnsi"/>
        </w:rPr>
        <w:t xml:space="preserve"> </w:t>
      </w:r>
      <w:r w:rsidRPr="003249D9">
        <w:rPr>
          <w:rFonts w:asciiTheme="minorHAnsi" w:hAnsiTheme="minorHAnsi"/>
        </w:rPr>
        <w:t>„baráti” hitelezők elutasítására, az említett jog nagyon korlátozottan érvényesíthető, ezért szükséges lenne a megerősítése.</w:t>
      </w:r>
    </w:p>
    <w:p w:rsidR="00BF6ACB" w:rsidRPr="003249D9" w:rsidRDefault="00AB7CFF" w:rsidP="009A73FD">
      <w:pPr>
        <w:pStyle w:val="TASBullet2"/>
        <w:numPr>
          <w:ilvl w:val="1"/>
          <w:numId w:val="46"/>
        </w:numPr>
        <w:rPr>
          <w:rFonts w:asciiTheme="minorHAnsi" w:hAnsiTheme="minorHAnsi"/>
        </w:rPr>
      </w:pPr>
      <w:proofErr w:type="gramStart"/>
      <w:r w:rsidRPr="003249D9">
        <w:rPr>
          <w:rFonts w:asciiTheme="minorHAnsi" w:hAnsiTheme="minorHAnsi"/>
        </w:rPr>
        <w:t>Ebben a tekintetben a vagyonfelügyelőt és a bíróságokat fel kellene hatalmazni, sőt kötelezni kellene arra, hogy ellenőrizzék a követelések jogalapját és valószínűsíthető mértékét a következők szerint: aránytalanul túlbiztosított fedezet felajánlása egyes hitelezőknek (függetlenül attól, hogy kapcsolt fél viszonyuk igazolható-e vagy sem) például úgy, hogy az adós (</w:t>
      </w:r>
      <w:r w:rsidR="001330AE">
        <w:rPr>
          <w:rFonts w:asciiTheme="minorHAnsi" w:hAnsiTheme="minorHAnsi"/>
        </w:rPr>
        <w:t>bérlői</w:t>
      </w:r>
      <w:r w:rsidR="001330AE" w:rsidRPr="003249D9">
        <w:rPr>
          <w:rFonts w:asciiTheme="minorHAnsi" w:hAnsiTheme="minorHAnsi"/>
        </w:rPr>
        <w:t xml:space="preserve"> </w:t>
      </w:r>
      <w:r w:rsidRPr="003249D9">
        <w:rPr>
          <w:rFonts w:asciiTheme="minorHAnsi" w:hAnsiTheme="minorHAnsi"/>
        </w:rPr>
        <w:t>minőségében) ésszerűtlenül nagy értékű készpénzbiztosítékot ajánl fel a kapcsolt félnek minősülő bérbeadónak az ingatlanbérleti szerződés idő előtti felmondása miatti kárpótlásul (az általunk tapasztalt példák egyike).</w:t>
      </w:r>
      <w:proofErr w:type="gramEnd"/>
      <w:r w:rsidRPr="003249D9">
        <w:rPr>
          <w:rFonts w:asciiTheme="minorHAnsi" w:hAnsiTheme="minorHAnsi"/>
        </w:rPr>
        <w:t xml:space="preserve"> Az ilyen eseteket a vag</w:t>
      </w:r>
      <w:r w:rsidR="001330AE">
        <w:rPr>
          <w:rFonts w:asciiTheme="minorHAnsi" w:hAnsiTheme="minorHAnsi"/>
        </w:rPr>
        <w:t>y</w:t>
      </w:r>
      <w:r w:rsidRPr="003249D9">
        <w:rPr>
          <w:rFonts w:asciiTheme="minorHAnsi" w:hAnsiTheme="minorHAnsi"/>
        </w:rPr>
        <w:t>onfelügyelőnek és a bíróságnak nyomon kell követnie és el kell utasítania vagy legalábbis korrigálnia kell, valamint ennek megfelelően kell meghatározni a szavazati jogokat.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Az adósok részéről fiktív hitelezők nyilvántartásba vételére irányuló bármely kísérletet szankcionálni kellene. Ilyen szankció lehetne például a csődeljárás automatikus lezárása, továbbá az igazgatók, valamint az együttműködő felszámolók és vagyonfelügyelők fokozott büntető és polgári jogi felelősségre vonása.</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Különbséget lehetne tenni a hitelezők között a jogállásuk tekintetében: a felszámolók és a vagyonfelügyelők is megerősítették, hogy üdvözölnék a „valódi” hitelezők (általában bankok, egyéb szabályozott pénzügyi szolgáltatók, valamint a nem biztosított kereskedelmi partnerek) jogainak kiterjesztését. A megfontoltan működő és megfelelően felügyelt szervezetek általában átláthatóbbak, együttműködőbbek és ésszerűbben tevékenykednek, követeléseik az esetek legnagyobb részében megalapozottak. Ennek megfelelően nagyobb mértékben lehetne támaszkodni azokra az adatokra, amelyeket meghatározott hitelezők (engedélyezett pénzügyi szolgáltatók, tehát nem egyéb biztosított, de általában mesterségesen létrehozott és kapcsolt </w:t>
      </w:r>
      <w:proofErr w:type="gramStart"/>
      <w:r w:rsidRPr="003249D9">
        <w:rPr>
          <w:rFonts w:asciiTheme="minorHAnsi" w:hAnsiTheme="minorHAnsi"/>
        </w:rPr>
        <w:t>fél státuszú</w:t>
      </w:r>
      <w:proofErr w:type="gramEnd"/>
      <w:r w:rsidRPr="003249D9">
        <w:rPr>
          <w:rFonts w:asciiTheme="minorHAnsi" w:hAnsiTheme="minorHAnsi"/>
        </w:rPr>
        <w:t xml:space="preserve"> hitelezők) szolgáltatnak, és az ilyen hitelezők jogainak megerősítése/bővítése is megfontolandó. </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Az adósok pénzügyi helyzetének rendszeres ellenőrzése során a kereskedelmi bankok és a Nemzeti Adó és Vámhivatal fontos információkkal rendelkezik az adósok követeléseiről és kötelezettségeiről. A vagyonfelügyelők és a bíróságok a követelések besorolásával összefüggésben támaszkodhatnak ezekre az információkra. A jogi keretrendszerben tehát fel lehetne hatalmazni a vagyonfelügyelőt, hogy a fent említett szervezetektől kérjen információt, ha azt gyanítja, hogy fiktív hitelező kísérel meg követelés</w:t>
      </w:r>
      <w:r w:rsidR="001330AE">
        <w:rPr>
          <w:rFonts w:asciiTheme="minorHAnsi" w:hAnsiTheme="minorHAnsi"/>
        </w:rPr>
        <w:t xml:space="preserve">t </w:t>
      </w:r>
      <w:proofErr w:type="gramStart"/>
      <w:r w:rsidR="001330AE">
        <w:rPr>
          <w:rFonts w:asciiTheme="minorHAnsi" w:hAnsiTheme="minorHAnsi"/>
        </w:rPr>
        <w:t>bejelenteni</w:t>
      </w:r>
      <w:proofErr w:type="gramEnd"/>
      <w:r w:rsidRPr="003249D9">
        <w:rPr>
          <w:rFonts w:asciiTheme="minorHAnsi" w:hAnsiTheme="minorHAnsi"/>
        </w:rPr>
        <w:t xml:space="preserve"> benyújtani nála.</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Tekintettel a fizetésképtelenségi eljárások növekvő számára és nagyságrendjére, valamint a nemzetgazdaságra gyakorolt hatásukra, a munkajogi ügyekre specializálódott bíróságokhoz hasonló, a fizetésképtelenségi ügyekre specializálódott bíróságok hatékonyabbá és szakszerűbbé tudnák tenni a fizetésképtelenségi ügyekre kijelölt bírák munkáját. A fizetésképtelenségi ügyekre szakosodott bíróságok és a kapcsolódó jogszabályi felhatalmazás biztosíthatná, hogy:</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az illetékes bírák olyan gazdasági, adóügyi, számviteli, vállalat-irányítási, válságkezelési és átszervezési ismereteket szerezhessenek, amelyekre az üzleti szempontokat jobban figyelembe vevő hozzáállás kialakításához szükségük van;</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bírák munkaterhelése csökkenhessen, biztosítva a fizetésképtelenségi esetek hatékonyabb kezelését;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az adott fizetésképtelenségi eljáráshoz szorosan kapcsolódó ügyeket – például a vitatott követelések tartalmát és a vagyonfelügyelővel szembeni kártérítési igényt – ugyanazon eljárás keretében lehetne elbírálni és a döntést meghozni;</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bírák számára lehetővé válik, hogy:</w:t>
      </w:r>
    </w:p>
    <w:p w:rsidR="00BF6ACB" w:rsidRPr="003249D9" w:rsidRDefault="00AB7CFF" w:rsidP="009A73FD">
      <w:pPr>
        <w:pStyle w:val="TASBulletnumber"/>
        <w:numPr>
          <w:ilvl w:val="0"/>
          <w:numId w:val="45"/>
        </w:numPr>
        <w:ind w:left="810"/>
        <w:rPr>
          <w:rFonts w:asciiTheme="minorHAnsi" w:hAnsiTheme="minorHAnsi"/>
        </w:rPr>
      </w:pPr>
      <w:r w:rsidRPr="003249D9">
        <w:rPr>
          <w:rFonts w:asciiTheme="minorHAnsi" w:hAnsiTheme="minorHAnsi"/>
        </w:rPr>
        <w:lastRenderedPageBreak/>
        <w:t>„napi szinten” felügyeljék a vagyonfelügyelők tevékenységét, és gyorsan reagáljanak a hitelezők vagy az adós beadványaira;</w:t>
      </w:r>
    </w:p>
    <w:p w:rsidR="00BF6ACB" w:rsidRPr="003249D9" w:rsidRDefault="00AB7CFF" w:rsidP="009A73FD">
      <w:pPr>
        <w:pStyle w:val="TASBulletnumber"/>
        <w:numPr>
          <w:ilvl w:val="0"/>
          <w:numId w:val="40"/>
        </w:numPr>
        <w:ind w:left="810"/>
        <w:rPr>
          <w:rFonts w:asciiTheme="minorHAnsi" w:hAnsiTheme="minorHAnsi"/>
        </w:rPr>
      </w:pPr>
      <w:r w:rsidRPr="003249D9">
        <w:rPr>
          <w:rFonts w:asciiTheme="minorHAnsi" w:hAnsiTheme="minorHAnsi"/>
        </w:rPr>
        <w:t>alaposan megvizsgálják a leginkább fiktívnek tűnő hitelezők „gyanús” követelései mögötti tényeket a „valódi” hitelezők érdekeinek védelme érdekében;</w:t>
      </w:r>
    </w:p>
    <w:p w:rsidR="00BF6ACB" w:rsidRPr="003249D9" w:rsidRDefault="00AB7CFF" w:rsidP="009A73FD">
      <w:pPr>
        <w:pStyle w:val="TASBulletnumber"/>
        <w:numPr>
          <w:ilvl w:val="0"/>
          <w:numId w:val="40"/>
        </w:numPr>
        <w:ind w:left="810"/>
        <w:rPr>
          <w:rFonts w:asciiTheme="minorHAnsi" w:hAnsiTheme="minorHAnsi"/>
        </w:rPr>
      </w:pPr>
      <w:r w:rsidRPr="003249D9">
        <w:rPr>
          <w:rFonts w:asciiTheme="minorHAnsi" w:hAnsiTheme="minorHAnsi"/>
        </w:rPr>
        <w:t xml:space="preserve">felmérjék a </w:t>
      </w:r>
      <w:proofErr w:type="spellStart"/>
      <w:r w:rsidRPr="003249D9">
        <w:rPr>
          <w:rFonts w:asciiTheme="minorHAnsi" w:hAnsiTheme="minorHAnsi"/>
        </w:rPr>
        <w:t>restrukturálási</w:t>
      </w:r>
      <w:proofErr w:type="spellEnd"/>
      <w:r w:rsidRPr="003249D9">
        <w:rPr>
          <w:rFonts w:asciiTheme="minorHAnsi" w:hAnsiTheme="minorHAnsi"/>
        </w:rPr>
        <w:t xml:space="preserve"> tervek megvalósíthatóságát és az adott </w:t>
      </w:r>
      <w:proofErr w:type="gramStart"/>
      <w:r w:rsidRPr="003249D9">
        <w:rPr>
          <w:rFonts w:asciiTheme="minorHAnsi" w:hAnsiTheme="minorHAnsi"/>
        </w:rPr>
        <w:t>társaság működő</w:t>
      </w:r>
      <w:proofErr w:type="gramEnd"/>
      <w:r w:rsidRPr="003249D9">
        <w:rPr>
          <w:rFonts w:asciiTheme="minorHAnsi" w:hAnsiTheme="minorHAnsi"/>
        </w:rPr>
        <w:t xml:space="preserve"> üzemként való életképességét (e célból a bírák </w:t>
      </w:r>
      <w:r w:rsidR="00F12CCF">
        <w:rPr>
          <w:rFonts w:asciiTheme="minorHAnsi" w:hAnsiTheme="minorHAnsi"/>
        </w:rPr>
        <w:t>beszerezhetnének</w:t>
      </w:r>
      <w:r w:rsidR="00F12CCF" w:rsidRPr="003249D9">
        <w:rPr>
          <w:rFonts w:asciiTheme="minorHAnsi" w:hAnsiTheme="minorHAnsi"/>
        </w:rPr>
        <w:t xml:space="preserve"> </w:t>
      </w:r>
      <w:r w:rsidRPr="003249D9">
        <w:rPr>
          <w:rFonts w:asciiTheme="minorHAnsi" w:hAnsiTheme="minorHAnsi"/>
        </w:rPr>
        <w:t>szekértői jelentést</w:t>
      </w:r>
      <w:r w:rsidR="00F12CCF">
        <w:rPr>
          <w:rFonts w:asciiTheme="minorHAnsi" w:hAnsiTheme="minorHAnsi"/>
        </w:rPr>
        <w:t xml:space="preserve"> is</w:t>
      </w:r>
      <w:r w:rsidRPr="003249D9">
        <w:rPr>
          <w:rFonts w:asciiTheme="minorHAnsi" w:hAnsiTheme="minorHAnsi"/>
        </w:rPr>
        <w:t>);</w:t>
      </w:r>
      <w:r w:rsidR="00F12CCF">
        <w:rPr>
          <w:rFonts w:asciiTheme="minorHAnsi" w:hAnsiTheme="minorHAnsi"/>
        </w:rPr>
        <w:t xml:space="preserve"> </w:t>
      </w:r>
      <w:r w:rsidRPr="003249D9">
        <w:rPr>
          <w:rFonts w:asciiTheme="minorHAnsi" w:hAnsiTheme="minorHAnsi"/>
        </w:rPr>
        <w:t>és</w:t>
      </w:r>
    </w:p>
    <w:p w:rsidR="00BF6ACB" w:rsidRPr="003249D9" w:rsidRDefault="00AB7CFF" w:rsidP="009A73FD">
      <w:pPr>
        <w:pStyle w:val="TASBulletnumber"/>
        <w:numPr>
          <w:ilvl w:val="0"/>
          <w:numId w:val="40"/>
        </w:numPr>
        <w:ind w:left="810"/>
        <w:rPr>
          <w:rFonts w:asciiTheme="minorHAnsi" w:hAnsiTheme="minorHAnsi"/>
        </w:rPr>
      </w:pPr>
      <w:r w:rsidRPr="003249D9">
        <w:rPr>
          <w:rFonts w:asciiTheme="minorHAnsi" w:hAnsiTheme="minorHAnsi"/>
        </w:rPr>
        <w:t>elnököljenek az egyezségi tárgyalásokon.</w:t>
      </w:r>
    </w:p>
    <w:p w:rsidR="00BF6ACB" w:rsidRPr="003249D9" w:rsidRDefault="00AB7CFF" w:rsidP="00BF6ACB">
      <w:pPr>
        <w:pStyle w:val="TASTextheading3"/>
        <w:rPr>
          <w:rFonts w:asciiTheme="minorHAnsi" w:hAnsiTheme="minorHAnsi"/>
        </w:rPr>
      </w:pPr>
      <w:r w:rsidRPr="003249D9">
        <w:rPr>
          <w:rFonts w:asciiTheme="minorHAnsi" w:hAnsiTheme="minorHAnsi"/>
        </w:rPr>
        <w:t>6.1.4. A vagyonfelügyelők pontos szerepe és felkészültsége</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problémák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Nincs olyan személy, aki megfelelően koordinálná az eljárást: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Az adós elméletileg – mivel a csődeljárás során bizonyos megszorításokkal továbbra is birtokban marad – valamilyen mértékben „menedzseli” a csődeljárást. Ez a </w:t>
      </w:r>
      <w:proofErr w:type="gramStart"/>
      <w:r w:rsidRPr="003249D9">
        <w:rPr>
          <w:rFonts w:asciiTheme="minorHAnsi" w:hAnsiTheme="minorHAnsi"/>
        </w:rPr>
        <w:t>fajta menedzselés</w:t>
      </w:r>
      <w:proofErr w:type="gramEnd"/>
      <w:r w:rsidRPr="003249D9">
        <w:rPr>
          <w:rFonts w:asciiTheme="minorHAnsi" w:hAnsiTheme="minorHAnsi"/>
        </w:rPr>
        <w:t xml:space="preserve"> azonban</w:t>
      </w:r>
      <w:r w:rsidR="00F12CCF">
        <w:rPr>
          <w:rFonts w:asciiTheme="minorHAnsi" w:hAnsiTheme="minorHAnsi"/>
        </w:rPr>
        <w:t xml:space="preserve"> </w:t>
      </w:r>
      <w:r w:rsidRPr="003249D9">
        <w:rPr>
          <w:rFonts w:asciiTheme="minorHAnsi" w:hAnsiTheme="minorHAnsi"/>
        </w:rPr>
        <w:t>–</w:t>
      </w:r>
      <w:r w:rsidR="00F12CCF">
        <w:rPr>
          <w:rFonts w:asciiTheme="minorHAnsi" w:hAnsiTheme="minorHAnsi"/>
        </w:rPr>
        <w:t xml:space="preserve"> </w:t>
      </w:r>
      <w:r w:rsidRPr="003249D9">
        <w:rPr>
          <w:rFonts w:asciiTheme="minorHAnsi" w:hAnsiTheme="minorHAnsi"/>
        </w:rPr>
        <w:t>a hitelezők szerint – nem megfelelő. Szükség lenne egy „</w:t>
      </w:r>
      <w:r w:rsidR="00F12CCF">
        <w:rPr>
          <w:rFonts w:asciiTheme="minorHAnsi" w:hAnsiTheme="minorHAnsi"/>
        </w:rPr>
        <w:t>központi</w:t>
      </w:r>
      <w:r w:rsidRPr="003249D9">
        <w:rPr>
          <w:rFonts w:asciiTheme="minorHAnsi" w:hAnsiTheme="minorHAnsi"/>
        </w:rPr>
        <w:t>”</w:t>
      </w:r>
      <w:r w:rsidR="00F12CCF">
        <w:rPr>
          <w:rFonts w:asciiTheme="minorHAnsi" w:hAnsiTheme="minorHAnsi"/>
        </w:rPr>
        <w:t>,</w:t>
      </w:r>
      <w:r w:rsidRPr="003249D9">
        <w:rPr>
          <w:rFonts w:asciiTheme="minorHAnsi" w:hAnsiTheme="minorHAnsi"/>
        </w:rPr>
        <w:t xml:space="preserve"> független személyre, aki felügyeli az eljárást, egyeztet a</w:t>
      </w:r>
      <w:r w:rsidR="00F12CCF">
        <w:rPr>
          <w:rFonts w:asciiTheme="minorHAnsi" w:hAnsiTheme="minorHAnsi"/>
        </w:rPr>
        <w:t>z érdekelt felekkel</w:t>
      </w:r>
      <w:r w:rsidRPr="003249D9">
        <w:rPr>
          <w:rFonts w:asciiTheme="minorHAnsi" w:hAnsiTheme="minorHAnsi"/>
        </w:rPr>
        <w:t>, valamint felelősséget vállal a jogszabályoknak való megfelelésért.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vagyonfelügyelő jogállására és pontos szerepére vonatkozó egyértelmű előírások hiányában úgy tűnik, hogy a vagyonfelügyelők nem alkalmaznak egységes megközelítést. A vagyonfelügyelők általában szeretnek a háttérben maradni, kevésbé támogatni az adóst a reorganizációs terv kidolgozásában</w:t>
      </w:r>
      <w:r w:rsidR="00F12CCF">
        <w:rPr>
          <w:rFonts w:asciiTheme="minorHAnsi" w:hAnsiTheme="minorHAnsi"/>
        </w:rPr>
        <w:t>, valamint az egyezségi tárgyalások levezetésében</w:t>
      </w:r>
      <w:r w:rsidRPr="003249D9">
        <w:rPr>
          <w:rFonts w:asciiTheme="minorHAnsi" w:hAnsiTheme="minorHAnsi"/>
        </w:rPr>
        <w:t xml:space="preserve">. A vagyonfelügyelők tapasztalata azonban hasznos </w:t>
      </w:r>
      <w:r w:rsidR="00F12CCF">
        <w:rPr>
          <w:rFonts w:asciiTheme="minorHAnsi" w:hAnsiTheme="minorHAnsi"/>
        </w:rPr>
        <w:t>lenne</w:t>
      </w:r>
      <w:r w:rsidR="00F12CCF" w:rsidRPr="003249D9">
        <w:rPr>
          <w:rFonts w:asciiTheme="minorHAnsi" w:hAnsiTheme="minorHAnsi"/>
        </w:rPr>
        <w:t xml:space="preserve"> </w:t>
      </w:r>
      <w:r w:rsidRPr="003249D9">
        <w:rPr>
          <w:rFonts w:asciiTheme="minorHAnsi" w:hAnsiTheme="minorHAnsi"/>
        </w:rPr>
        <w:t xml:space="preserve">e tekintetben, mivel az adós menedzsmentje nem biztos, hogy rendelkezik a szükséges szakértelemmel és tapasztalattal. </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vagyonfelügyelők részéről az érdemibb részvétellel szembeni tartózkodó hozzáállás arra a szándékukra vezethető vissza, hogy minimalizálják a felelősségüket, továbbá arra, hogy a díjazásukat teljesítménytől függetlenül megkapják. Így viszont feltehetőleg nincs elég </w:t>
      </w:r>
      <w:proofErr w:type="spellStart"/>
      <w:r w:rsidRPr="003249D9">
        <w:rPr>
          <w:rFonts w:asciiTheme="minorHAnsi" w:hAnsiTheme="minorHAnsi"/>
        </w:rPr>
        <w:t>motíváció</w:t>
      </w:r>
      <w:proofErr w:type="spellEnd"/>
      <w:r w:rsidRPr="003249D9">
        <w:rPr>
          <w:rFonts w:asciiTheme="minorHAnsi" w:hAnsiTheme="minorHAnsi"/>
        </w:rPr>
        <w:t xml:space="preserve"> számukra az aktívabb szerepvállaláshoz.</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Nem elég hatékony eszközök:</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vagyonfelügyelő nem rendelkezik a </w:t>
      </w:r>
      <w:proofErr w:type="gramStart"/>
      <w:r w:rsidRPr="003249D9">
        <w:rPr>
          <w:rFonts w:asciiTheme="minorHAnsi" w:hAnsiTheme="minorHAnsi"/>
        </w:rPr>
        <w:t>felszámolóval</w:t>
      </w:r>
      <w:proofErr w:type="gramEnd"/>
      <w:r w:rsidRPr="003249D9">
        <w:rPr>
          <w:rFonts w:asciiTheme="minorHAnsi" w:hAnsiTheme="minorHAnsi"/>
        </w:rPr>
        <w:t xml:space="preserve"> azonos jogokkal az adós egyes megállapodásainak megtámadása tekintetében (lásd a Jogi háttér című fejezet 5.9. (</w:t>
      </w:r>
      <w:r w:rsidR="00F12CCF" w:rsidRPr="004E7954">
        <w:rPr>
          <w:rFonts w:asciiTheme="minorHAnsi" w:hAnsiTheme="minorHAnsi"/>
          <w:i/>
        </w:rPr>
        <w:t>Az érvénytelenítés kockázatának kitett ügyletek</w:t>
      </w:r>
      <w:r w:rsidRPr="003249D9">
        <w:rPr>
          <w:rFonts w:asciiTheme="minorHAnsi" w:hAnsiTheme="minorHAnsi"/>
        </w:rPr>
        <w:t>) szakaszát). A vagyonfelügyelő csak azokat megállapodásokat jogosult megtámadni, amelyek megkötéséhez a moratórium idején az adós nem kérte a</w:t>
      </w:r>
      <w:r w:rsidR="00405471">
        <w:rPr>
          <w:rFonts w:asciiTheme="minorHAnsi" w:hAnsiTheme="minorHAnsi"/>
        </w:rPr>
        <w:t xml:space="preserve"> </w:t>
      </w:r>
      <w:r w:rsidRPr="003249D9">
        <w:rPr>
          <w:rFonts w:asciiTheme="minorHAnsi" w:hAnsiTheme="minorHAnsi"/>
        </w:rPr>
        <w:t xml:space="preserve">jóváhagyását. </w:t>
      </w:r>
      <w:r w:rsidR="00D37ECB">
        <w:rPr>
          <w:rFonts w:asciiTheme="minorHAnsi" w:hAnsiTheme="minorHAnsi"/>
        </w:rPr>
        <w:t>Pedig</w:t>
      </w:r>
      <w:r w:rsidR="00D37ECB" w:rsidRPr="003249D9">
        <w:rPr>
          <w:rFonts w:asciiTheme="minorHAnsi" w:hAnsiTheme="minorHAnsi"/>
        </w:rPr>
        <w:t xml:space="preserve"> </w:t>
      </w:r>
      <w:r w:rsidRPr="003249D9">
        <w:rPr>
          <w:rFonts w:asciiTheme="minorHAnsi" w:hAnsiTheme="minorHAnsi"/>
        </w:rPr>
        <w:t xml:space="preserve">a vagyonfelügyelő </w:t>
      </w:r>
      <w:proofErr w:type="spellStart"/>
      <w:r w:rsidR="00D37ECB">
        <w:rPr>
          <w:rFonts w:asciiTheme="minorHAnsi" w:hAnsiTheme="minorHAnsi"/>
        </w:rPr>
        <w:t>isészlelhet</w:t>
      </w:r>
      <w:proofErr w:type="spellEnd"/>
      <w:r w:rsidRPr="003249D9">
        <w:rPr>
          <w:rFonts w:asciiTheme="minorHAnsi" w:hAnsiTheme="minorHAnsi"/>
        </w:rPr>
        <w:t xml:space="preserve"> olyan rosszhiszemű ügyletek</w:t>
      </w:r>
      <w:r w:rsidR="00D37ECB">
        <w:rPr>
          <w:rFonts w:asciiTheme="minorHAnsi" w:hAnsiTheme="minorHAnsi"/>
        </w:rPr>
        <w:t>et</w:t>
      </w:r>
      <w:r w:rsidRPr="003249D9">
        <w:rPr>
          <w:rFonts w:asciiTheme="minorHAnsi" w:hAnsiTheme="minorHAnsi"/>
        </w:rPr>
        <w:t>, amelyekre a csődeljárás kezdete előtt került sor.</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vagyonfelügyelő fent említett korlátozott jogai valószínűleg a csődeljárás viszonylag gyors lebonyolítására irányuló jogalkotói szándékból erednek. Ebből következően a csődeljárás nem feltétlenül szükséges meghosszabbodásának megakadályozása érdekében a vagyonfelügyelők számára biztosított megtámadási jogok bármilyen bővítésével egyidejűleg úgy kell átalakítani az igazságszolgáltatás szerkezetét, hogy a bíráknak legyen elegendő kapacitása a megtámadott megállapodások korlátozott határidőre történő megvizsgálására.</w:t>
      </w:r>
    </w:p>
    <w:p w:rsidR="00BF6ACB" w:rsidRPr="003249D9" w:rsidRDefault="00AB7CFF" w:rsidP="00BF6ACB">
      <w:pPr>
        <w:pStyle w:val="TASTextheading3"/>
        <w:rPr>
          <w:rFonts w:asciiTheme="minorHAnsi" w:hAnsiTheme="minorHAnsi"/>
        </w:rPr>
      </w:pPr>
      <w:r w:rsidRPr="003249D9">
        <w:rPr>
          <w:rFonts w:asciiTheme="minorHAnsi" w:hAnsiTheme="minorHAnsi"/>
        </w:rPr>
        <w:t>Potenciális megoldási lehetőségek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csődeljárásban a vagyonfelügyelők szerepét a következők tekintetében kell erősíteni:</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csődeljárás során az adósra nézve kötelező olyan formalitások és eljárási lépések felügyelete, mint például a hitelezői értekezletek összehívása és levezetése, valamint a hitelezők meghívása.</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Az eljárási szabálytalanságok és hiányosságok elkerülése, illetve megakadályozása, lényeges csődegyezségi javaslat és reorganizációs terv hiánya.</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Az adós által megkötött megállapodások vagy elvégzett tevékenységek megtámadása, hasonlóan a felszámolók számára biztosított megtámadási jogokhoz.</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Célszerű lenne megfontolni, hogy a Bérgarancia Alaphoz a vagyonfelügyelők </w:t>
      </w:r>
      <w:r w:rsidR="00520F6E">
        <w:rPr>
          <w:rFonts w:asciiTheme="minorHAnsi" w:hAnsiTheme="minorHAnsi"/>
        </w:rPr>
        <w:t xml:space="preserve">is </w:t>
      </w:r>
      <w:r w:rsidR="00520F6E" w:rsidRPr="003249D9">
        <w:rPr>
          <w:rFonts w:asciiTheme="minorHAnsi" w:hAnsiTheme="minorHAnsi"/>
        </w:rPr>
        <w:t xml:space="preserve">hozzáférhessenek </w:t>
      </w:r>
      <w:r w:rsidRPr="003249D9">
        <w:rPr>
          <w:rFonts w:asciiTheme="minorHAnsi" w:hAnsiTheme="minorHAnsi"/>
        </w:rPr>
        <w:t>a csődeljárás során.</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vonatkozó rendelkezéseknek egyértelműen meg kellene fogalmazniuk, hogy a vagyonfelügyelő részéről nem mérlegelési jog, hanem kötelezettség, hogy aktívabb szerepet vállaljon az eljárás felügyeletében, és segítse az adóst a sikeres reorganizációban. Ezzel egyidejűleg nem feltétlenül szükséges a vagyonfelügyelő díjazásának növelése. A díj ugyanis kellően motiválónak tűnik.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lastRenderedPageBreak/>
        <w:t>A fizetésképtelenségi ügyekre szakosodott bíróságok létrehozása (lásd fentebb) biztosítaná a bírák számára a szükséges kapacitást az adós által megkötött és a vagyonfelügyelő által megtámadott megállapodások vizsgálatára, amennyiben a vagyonfelügyelők számára biztosított megtámadási jogokat kibővítenék a felszámolókéhoz hasonló szintűre.</w:t>
      </w:r>
    </w:p>
    <w:p w:rsidR="00BF6ACB" w:rsidRPr="003249D9" w:rsidRDefault="00AB7CFF" w:rsidP="00BF6ACB">
      <w:pPr>
        <w:pStyle w:val="TASTextheading3"/>
        <w:rPr>
          <w:rFonts w:asciiTheme="minorHAnsi" w:hAnsiTheme="minorHAnsi"/>
        </w:rPr>
      </w:pPr>
      <w:r w:rsidRPr="003249D9">
        <w:rPr>
          <w:rFonts w:asciiTheme="minorHAnsi" w:hAnsiTheme="minorHAnsi"/>
        </w:rPr>
        <w:t>6.1.5. A formalitásokon alapuló bírói megközelítés</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problémák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„gyanús” követelések részletes vizsgálatának hiánya:</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Bár a hitelezők számos esetben tapasztalják, hogy az adósok rosszhiszeműen befolyásolják a szavazást (például fiktív hitelezők feltüntetése és a követelések vitatása a jelen fejezet </w:t>
      </w:r>
      <w:r w:rsidRPr="003249D9">
        <w:rPr>
          <w:rFonts w:asciiTheme="minorHAnsi" w:hAnsiTheme="minorHAnsi"/>
          <w:i/>
        </w:rPr>
        <w:t xml:space="preserve">Az adósok visszaélése a jogi </w:t>
      </w:r>
      <w:proofErr w:type="gramStart"/>
      <w:r w:rsidRPr="003249D9">
        <w:rPr>
          <w:rFonts w:asciiTheme="minorHAnsi" w:hAnsiTheme="minorHAnsi"/>
          <w:i/>
        </w:rPr>
        <w:t>keretrendszerrel</w:t>
      </w:r>
      <w:r w:rsidR="00405471">
        <w:rPr>
          <w:rFonts w:asciiTheme="minorHAnsi" w:hAnsiTheme="minorHAnsi"/>
          <w:i/>
        </w:rPr>
        <w:t xml:space="preserve"> </w:t>
      </w:r>
      <w:r w:rsidRPr="003249D9">
        <w:rPr>
          <w:rFonts w:asciiTheme="minorHAnsi" w:hAnsiTheme="minorHAnsi"/>
        </w:rPr>
        <w:t>című</w:t>
      </w:r>
      <w:proofErr w:type="gramEnd"/>
      <w:r w:rsidRPr="003249D9">
        <w:rPr>
          <w:rFonts w:asciiTheme="minorHAnsi" w:hAnsiTheme="minorHAnsi"/>
        </w:rPr>
        <w:t xml:space="preserve"> szakaszában említettek szerint), mégis arról számolnak be, hogy a bírák vonakodnak megvizsgálni az ilyen cselekmények hátterét és a „gyanús” követelések tartalmát. </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bírák megerősítették, hogy tényleg rendkívül fontos lenne, hogy csak „valódi” hitelezők vegyenek részt a csődeljárásban. A bírák azt is megjegyezték, hogy a szükséges pénzügyi, számviteli és gazdasági ismeretek, valamint a megfelelő kapacitás hiányában nem tudnak alapos vizsgálatot végezni. Leginkább azonban a szükséges </w:t>
      </w:r>
      <w:r w:rsidR="00520F6E">
        <w:rPr>
          <w:rFonts w:asciiTheme="minorHAnsi" w:hAnsiTheme="minorHAnsi"/>
        </w:rPr>
        <w:t>törvényi felhatalmazás</w:t>
      </w:r>
      <w:r w:rsidR="00520F6E" w:rsidRPr="003249D9">
        <w:rPr>
          <w:rFonts w:asciiTheme="minorHAnsi" w:hAnsiTheme="minorHAnsi"/>
        </w:rPr>
        <w:t xml:space="preserve"> </w:t>
      </w:r>
      <w:r w:rsidRPr="003249D9">
        <w:rPr>
          <w:rFonts w:asciiTheme="minorHAnsi" w:hAnsiTheme="minorHAnsi"/>
        </w:rPr>
        <w:t>hiánya akadályozza a részletek feltárását.</w:t>
      </w:r>
    </w:p>
    <w:p w:rsidR="00BF6ACB" w:rsidRPr="003249D9" w:rsidRDefault="00AB7CFF" w:rsidP="00BF6ACB">
      <w:pPr>
        <w:pStyle w:val="TASTextheading3"/>
        <w:rPr>
          <w:rFonts w:asciiTheme="minorHAnsi" w:hAnsiTheme="minorHAnsi"/>
        </w:rPr>
      </w:pPr>
      <w:r w:rsidRPr="003249D9">
        <w:rPr>
          <w:rFonts w:asciiTheme="minorHAnsi" w:hAnsiTheme="minorHAnsi"/>
        </w:rPr>
        <w:t>Potenciális megoldási lehetőségek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fizetésképtelenségi ügyekre szakosodott bíróságok létrehozása (lásd fentebb) biztosítaná a bírák számára azt a lehetőséget is, hogy a „valódi” hitelezők érdekeinek védelmében alaposan megvizsgálják a leginkább fiktívnek tűnő hitelezők követeléseit.</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problémák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csődegyezség megítélése kizárólag jogi szempontokon alapul:</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jogi keretrendszer csak annak vizsgálatára jogosítja fel a bíróságokat, hogy a csődegyezség összhangban van-e a Csődtörvénnyel. Emiatt a közelmúltig kizárólag formális szempontok szerinti ellenőrzésre került sor, amely kiterjedt például a hitelezők meghívásának, valamint az egyezség aláírásának és </w:t>
      </w:r>
      <w:r w:rsidR="008F7DEF">
        <w:rPr>
          <w:rFonts w:asciiTheme="minorHAnsi" w:hAnsiTheme="minorHAnsi"/>
        </w:rPr>
        <w:t xml:space="preserve">az eljárási </w:t>
      </w:r>
      <w:r w:rsidRPr="003249D9">
        <w:rPr>
          <w:rFonts w:asciiTheme="minorHAnsi" w:hAnsiTheme="minorHAnsi"/>
        </w:rPr>
        <w:t>határidők vizsgálatára.</w:t>
      </w:r>
      <w:r w:rsidR="00405471">
        <w:rPr>
          <w:rFonts w:asciiTheme="minorHAnsi" w:hAnsiTheme="minorHAnsi"/>
        </w:rPr>
        <w:t xml:space="preserve"> </w:t>
      </w:r>
      <w:r w:rsidRPr="003249D9">
        <w:rPr>
          <w:rFonts w:asciiTheme="minorHAnsi" w:hAnsiTheme="minorHAnsi"/>
        </w:rPr>
        <w:t>A csődegyezség tényleges tartalma és az adott csődeljárás egésze kevesebb figyelmet kapott.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Bár a megfelelőség szempontjából végzett végső bírósági ellenőrzés kifejezetten fontos, végrehajtását a csődegyezség, az adott eset és az eljárásban érvényesülő más szempontok alapos értékelésével kell összekapcsolni. Különösen igaz ez akkor, ha figyelembe vesszük, hogy az eljárásban az egyezség a bíróság előtt már keresztülment bizonyos „szűrőkön” (pl. az adós és a hitelezők jogi tanácsadói, szavazás, a jóváhagyott egyezség, illetve az egyezség és a Csődtörvény összhangját igazoló nyilatkozat vagyonfelügyelő általi ellenjegyzése), így a bíróság szerepének a jogi formalitások vizsgálatára való szűkítése és korlátozása nem tűnik ésszerűnek.</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Meg kell jegyeznünk, hogy a formalitásokra épülő fenti megközelítés változhat. A közelmúltban hozott néhány döntésében a Kúria a csődeljárás </w:t>
      </w:r>
      <w:proofErr w:type="spellStart"/>
      <w:r w:rsidRPr="003249D9">
        <w:rPr>
          <w:rFonts w:asciiTheme="minorHAnsi" w:hAnsiTheme="minorHAnsi"/>
        </w:rPr>
        <w:t>restrukturálási</w:t>
      </w:r>
      <w:proofErr w:type="spellEnd"/>
      <w:r w:rsidRPr="003249D9">
        <w:rPr>
          <w:rFonts w:asciiTheme="minorHAnsi" w:hAnsiTheme="minorHAnsi"/>
        </w:rPr>
        <w:t xml:space="preserve"> jellegének fontosságát hangsúlyozta, és úgy határozott, hogy a csődegyezségben nem csak követelések kielégítéséről kell megállapodni, hanem ki kell térni arra is, hogy az adósnak kifejezett szándékában áll a tartozásainak </w:t>
      </w:r>
      <w:proofErr w:type="spellStart"/>
      <w:r w:rsidRPr="003249D9">
        <w:rPr>
          <w:rFonts w:asciiTheme="minorHAnsi" w:hAnsiTheme="minorHAnsi"/>
        </w:rPr>
        <w:t>restrukturálása</w:t>
      </w:r>
      <w:proofErr w:type="spellEnd"/>
      <w:r w:rsidRPr="003249D9">
        <w:rPr>
          <w:rFonts w:asciiTheme="minorHAnsi" w:hAnsiTheme="minorHAnsi"/>
        </w:rPr>
        <w:t xml:space="preserve"> és tevékenységének folytatása.</w:t>
      </w:r>
    </w:p>
    <w:p w:rsidR="00BF6ACB" w:rsidRPr="003249D9" w:rsidRDefault="00AB7CFF" w:rsidP="00BF6ACB">
      <w:pPr>
        <w:pStyle w:val="TASTextheading3"/>
        <w:rPr>
          <w:rFonts w:asciiTheme="minorHAnsi" w:hAnsiTheme="minorHAnsi"/>
        </w:rPr>
      </w:pPr>
      <w:r w:rsidRPr="003249D9">
        <w:rPr>
          <w:rFonts w:asciiTheme="minorHAnsi" w:hAnsiTheme="minorHAnsi"/>
        </w:rPr>
        <w:t>Potenciális megoldási lehetőségek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Csődtörvényben egyértelműen meg kellene határozni, hogy a csődegyezség nem kizárólag azt jelenti, hogy a hitelezők lemondanak követelésük egy részéről, az adós pedig vállalja, hogy a fennmaradó összeget adott határidőn belül megfizeti, hanem egyéb, nem pénzügyi intézkedésekről is megállapodnak az alábbiak szerint: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Részletesebb szabályozást igényel, hogy a gazdálkodó szervezetben való részesedésszerzés milyen módon jelenhet meg az egyezségben, és hogyan mehetne át a csődbírák által végzett „végrehajthatósági vizsgálaton”.</w:t>
      </w:r>
    </w:p>
    <w:p w:rsidR="00BF6ACB" w:rsidRPr="003249D9" w:rsidRDefault="00AB7CFF" w:rsidP="009A73FD">
      <w:pPr>
        <w:pStyle w:val="TASBullet2"/>
        <w:numPr>
          <w:ilvl w:val="2"/>
          <w:numId w:val="46"/>
        </w:numPr>
        <w:rPr>
          <w:rFonts w:asciiTheme="minorHAnsi" w:hAnsiTheme="minorHAnsi"/>
        </w:rPr>
      </w:pPr>
      <w:r w:rsidRPr="003249D9">
        <w:rPr>
          <w:rFonts w:asciiTheme="minorHAnsi" w:hAnsiTheme="minorHAnsi"/>
        </w:rPr>
        <w:t>Például meg lehetne határozni, hogy az adós jelenlegi részvényesei és más felek (pl. újonnan belépő részvényesek) – noha a csődeljárásnak nem részes felei – a csődegyezségben szerződő félként részt vehetnek, és részvényeiket átruházhatják a gazdálkodó szervezetben való részesedésszerzés által érintett hitelezőnek.</w:t>
      </w:r>
    </w:p>
    <w:p w:rsidR="00BF6ACB" w:rsidRPr="003249D9" w:rsidRDefault="00AB7CFF" w:rsidP="009A73FD">
      <w:pPr>
        <w:pStyle w:val="TASBullet2"/>
        <w:numPr>
          <w:ilvl w:val="2"/>
          <w:numId w:val="46"/>
        </w:numPr>
        <w:rPr>
          <w:rFonts w:asciiTheme="minorHAnsi" w:hAnsiTheme="minorHAnsi"/>
        </w:rPr>
      </w:pPr>
      <w:r w:rsidRPr="003249D9">
        <w:rPr>
          <w:rFonts w:asciiTheme="minorHAnsi" w:hAnsiTheme="minorHAnsi"/>
        </w:rPr>
        <w:t xml:space="preserve">Megfontolás tárgyát képezhetné a német modell is, amely a hitelezői jogok tekintetében még tovább megy, lehetővé tesz a gazdálkodó szervezetben való részesedésszerzést úgy, hogy a szanálási tervben módosítani lehet bármilyen részvényesi jogot, ideértve a tőkecsökkentést és tőkenövelést vagy a részvényeknek a hitelezők részére </w:t>
      </w:r>
      <w:r w:rsidRPr="003249D9">
        <w:rPr>
          <w:rFonts w:asciiTheme="minorHAnsi" w:hAnsiTheme="minorHAnsi"/>
        </w:rPr>
        <w:lastRenderedPageBreak/>
        <w:t>való kötelező átruházását. Az obstrukciós tilalom eszközével élve a fizetésképtelenségi ügyekre szakosodott bíróság a részvényesek hozzájárulása nélkül is jóváhagyhatja a tervet. Ezen kívül Szlovénia bevezette a gazdálkodó szervezetben való kötelező részesedésszerzést, amelyet a hitelezőknek kell kezdeményezniük, vagyis ez a konstrukció a polgári jogban sokkal szélesebb körben elfogadott.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fentiek az adós menedzsmentjének megváltoztatására is érvényesek. </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Célszerű lenne megfontolni, hogy a bírák szakértői vélemény alapján hozhassanak döntést a csődegyezség megvalósíthatóságáról.</w:t>
      </w:r>
    </w:p>
    <w:p w:rsidR="00BF6ACB" w:rsidRPr="003249D9" w:rsidRDefault="00AB7CFF" w:rsidP="00BF6ACB">
      <w:pPr>
        <w:pStyle w:val="TASTextheading3"/>
        <w:rPr>
          <w:rFonts w:asciiTheme="minorHAnsi" w:hAnsiTheme="minorHAnsi"/>
        </w:rPr>
      </w:pPr>
      <w:r w:rsidRPr="003249D9">
        <w:rPr>
          <w:rFonts w:asciiTheme="minorHAnsi" w:hAnsiTheme="minorHAnsi"/>
        </w:rPr>
        <w:t xml:space="preserve">6.1.6. A vagyonfelügyelő díjazása </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problémák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Aránytalan díjösszeg:</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Egyes esetekben a vagyonfelügyelő – tekintettel az elvégzett munka mennyiségére és az adós pénzügyi helyzetére – ésszerűtlenül nagy összegű díjra jogosult. A magas díjösszeg a vagyonfelügyelő díjazásának számítására vonatkozó rendelkezésekből adódik, nevezetesen abból, hogy a díjszámítás alapja az adós eszközeinek könyv szerinti értéke (lásd a Jogi háttér című fejezet 4.6.(</w:t>
      </w:r>
      <w:r w:rsidRPr="003249D9">
        <w:rPr>
          <w:rFonts w:asciiTheme="minorHAnsi" w:hAnsiTheme="minorHAnsi"/>
          <w:i/>
        </w:rPr>
        <w:t>A vagyonfelügyelő szerepe és felelőssége</w:t>
      </w:r>
      <w:r w:rsidRPr="003249D9">
        <w:rPr>
          <w:rFonts w:asciiTheme="minorHAnsi" w:hAnsiTheme="minorHAnsi"/>
        </w:rPr>
        <w:t>) szakaszát).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Elméletileg a bíróságoknak adott </w:t>
      </w:r>
      <w:proofErr w:type="gramStart"/>
      <w:r w:rsidRPr="003249D9">
        <w:rPr>
          <w:rFonts w:asciiTheme="minorHAnsi" w:hAnsiTheme="minorHAnsi"/>
        </w:rPr>
        <w:t>esetben jogukban</w:t>
      </w:r>
      <w:proofErr w:type="gramEnd"/>
      <w:r w:rsidRPr="003249D9">
        <w:rPr>
          <w:rFonts w:asciiTheme="minorHAnsi" w:hAnsiTheme="minorHAnsi"/>
        </w:rPr>
        <w:t xml:space="preserve"> áll a díj összegének csökkentése. Ugyanakkor – a gyakorlati tapasztalatok szerint – ritkán élnek e mérlegelési jogukkal. </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Nincsenek igazi motiváló tényezők:</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Az adóst terheli a vagyonfelügyelő díjának az a része, amelyre nem nyújt fedezetet a hitelezői követelések nyilvántartásba vételéért a hitelezőktől beszedett regisztrációs díjak összege. Az a tény, hogy – függetlenül a vagyonfelügyelő teljesítményétől – az adósnak kell megfizetnie a vagyonfelügyelő alapdíjának legnagyobb részét, és e díj megfizetésének nincsenek más előfeltételei, kevésbé teszi motiválttá a vagyonfelügyelőt abban, hogy aktívabb szerepet vállaljon a csődeljárásban.</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vagyonfelügyelői díjra való jogosultság nem függ a sikeres csődegyezségtől. Ehelyett </w:t>
      </w:r>
      <w:r w:rsidR="008F7DEF">
        <w:rPr>
          <w:rFonts w:asciiTheme="minorHAnsi" w:hAnsiTheme="minorHAnsi"/>
        </w:rPr>
        <w:t xml:space="preserve">ebben az esetben </w:t>
      </w:r>
      <w:r w:rsidRPr="003249D9">
        <w:rPr>
          <w:rFonts w:asciiTheme="minorHAnsi" w:hAnsiTheme="minorHAnsi"/>
        </w:rPr>
        <w:t>a vagyonfelügyelő automatikusan további sikerdíjra válik jogosulttá.</w:t>
      </w:r>
    </w:p>
    <w:p w:rsidR="00BF6ACB" w:rsidRPr="003249D9" w:rsidRDefault="00AB7CFF" w:rsidP="00BF6ACB">
      <w:pPr>
        <w:pStyle w:val="TASTextheading3"/>
        <w:rPr>
          <w:rFonts w:asciiTheme="minorHAnsi" w:hAnsiTheme="minorHAnsi"/>
        </w:rPr>
      </w:pPr>
      <w:r w:rsidRPr="003249D9">
        <w:rPr>
          <w:rFonts w:asciiTheme="minorHAnsi" w:hAnsiTheme="minorHAnsi"/>
        </w:rPr>
        <w:t>Potenciális megoldási lehetőségek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vagyonfelügyelők díjazási rendszerét (alapdíj és sikerdíj) felül kellene vizsgálni az elérhető legjobb gyakorlati minták szerint, és abból a célból, hogy biztosítsa a megfelelő teljesítményösztönzőket. E tekintetben vagy az alapdíjat kellene csökkenteni vagy újra meg kellene határozni az alapdíj és a sikerdíj egymáshoz viszonyított arányát.</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fizetésképtelenségi ügyekre szakosodott bíróságok létrehozása (lásd fentebb) biztosítaná a bírák számára:</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vagyonfelügyelői díj arányos voltának és a vagyonfelügyelő által az adott eljárásban elvégzett munka mennyiségének vizsgálatát;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díjösszeg megfelelő módosítása jogának gyakoribb gyakorlását; és</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vagyonfelügyelő tevékenységével – például a vagyonfelügyelő részvétele és segítsége a reorganizációs terv és a sikeres csődegyezség kidolgozásában – kapcsolatban az adós és a hitelezők véleményének figyelembe vételét. </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Mint ahogy a fenti 5.1.1. (</w:t>
      </w:r>
      <w:r w:rsidRPr="003249D9">
        <w:rPr>
          <w:rFonts w:asciiTheme="minorHAnsi" w:hAnsiTheme="minorHAnsi"/>
          <w:i/>
        </w:rPr>
        <w:t>A vagyonfelügyelők és a felszámolók kijelölése</w:t>
      </w:r>
      <w:r w:rsidRPr="003249D9">
        <w:rPr>
          <w:rFonts w:asciiTheme="minorHAnsi" w:hAnsiTheme="minorHAnsi"/>
        </w:rPr>
        <w:t xml:space="preserve">) szakaszban már említettük, célszerű lenne általánosságban megfontolni, hogy a felszámolók és a vagyonfelügyelők kiválasztásában – a jelenlegi véletlenszerű kiválasztási rendszer helyett – nagyobb beleszólási joguk legyen a hitelezőknek. Más országok szabályozása hasznos kiindulópontul szolgálhatna. Például a hitelezők közvetlenül kiválaszthatnák a vagyonfelügyelőt (mint például Bulgáriában), amely azt is jelenthetné, hogy a jogi keretrendszerben lehetne szabályozni a vagyonfelügyelők díjazását. Alternatív megoldásként a csődeljárásban a bíróság joga lehetne, hogy – a hitelezők előzetes jóváhagyásával – kijelölje a vagyonfelügyelőt. </w:t>
      </w:r>
      <w:proofErr w:type="gramStart"/>
      <w:r w:rsidRPr="003249D9">
        <w:rPr>
          <w:rFonts w:asciiTheme="minorHAnsi" w:hAnsiTheme="minorHAnsi"/>
        </w:rPr>
        <w:t>Követendő lehet a német modell is, amelyben a (meghatározott méretű adós estében kötelezően létrehozandó) előzetes hitelezői bizottságnak jelentős befolyása van a fizetésképtelenségi eljárás során, különösen a felszámolók és vagyonfelügyelők meghatározása tekintetében: az előzetes hitelezői bizottság egyhangú javaslata általánosan kötelező érvényű a fizetésképtelenségi ügyekre szakosodott bíróság számára a javasolt személy kinevezése tekintetében, amennyiben a jelölt megfelel a jogi követelményeknek (pl. a hitelezőktől és az adóstól független, üzleti területen megfelelő gyakorlattal rendelkezik).</w:t>
      </w:r>
      <w:proofErr w:type="gramEnd"/>
    </w:p>
    <w:p w:rsidR="00BF6ACB" w:rsidRPr="003249D9" w:rsidRDefault="00BF6ACB" w:rsidP="00BF6ACB">
      <w:pPr>
        <w:pStyle w:val="TASBullet1"/>
        <w:numPr>
          <w:ilvl w:val="0"/>
          <w:numId w:val="0"/>
        </w:numPr>
        <w:rPr>
          <w:rFonts w:asciiTheme="minorHAnsi" w:hAnsiTheme="minorHAnsi"/>
        </w:rPr>
      </w:pPr>
    </w:p>
    <w:p w:rsidR="00BF6ACB" w:rsidRPr="003249D9" w:rsidRDefault="00AB7CFF" w:rsidP="00BF6ACB">
      <w:pPr>
        <w:pStyle w:val="TASTextheading1"/>
        <w:rPr>
          <w:rFonts w:asciiTheme="minorHAnsi" w:hAnsiTheme="minorHAnsi"/>
        </w:rPr>
      </w:pPr>
      <w:r w:rsidRPr="003249D9">
        <w:rPr>
          <w:rFonts w:asciiTheme="minorHAnsi" w:hAnsiTheme="minorHAnsi"/>
        </w:rPr>
        <w:t>7. FELSZÁMOLÁSI ELJÁRÁS</w:t>
      </w:r>
    </w:p>
    <w:p w:rsidR="00BF6ACB" w:rsidRPr="003249D9" w:rsidRDefault="00AB7CFF" w:rsidP="00BF6ACB">
      <w:pPr>
        <w:pStyle w:val="TASTextheading3"/>
        <w:rPr>
          <w:rFonts w:asciiTheme="minorHAnsi" w:hAnsiTheme="minorHAnsi"/>
        </w:rPr>
      </w:pPr>
      <w:r w:rsidRPr="003249D9">
        <w:rPr>
          <w:rFonts w:asciiTheme="minorHAnsi" w:hAnsiTheme="minorHAnsi"/>
        </w:rPr>
        <w:t>7.1.1 Általános megjegyzések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Felszámolók és Vagyonfelügyelők Országos Egyesülete által közzétett statisztikák szerint a felszámolási eljárások 80-90%-át „üres” cégek, vagyis olyan adósok ellen folytatják, amelyek nem rendelkeznek semmiféle érdemleges vagyonnal. Mivel nincs elegendő pénzügyi forrás a követelések beszedésére, nagyon feszült érdekellentétek keletkeznek, melyek során meglehetősen nehéz feladat bármilyen együttműködést kialakítani a felszámolásban érdekelt felek között.</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 hitelezők általában egyetértenek abban, hogy a felszámolási eljárások jelenlegi alacsony hatékonyságú és káros rendszerét három fontos tényező hiánya okozza: 1) átláthatóság, 2) a hatáskörök egyensúlya és 3) hatékony szankciók azokra az esetekre, ha a felszámolók, az adós és/vagy annak tulajdonosai </w:t>
      </w:r>
      <w:r w:rsidR="008F7DEF">
        <w:rPr>
          <w:rFonts w:asciiTheme="minorHAnsi" w:hAnsiTheme="minorHAnsi"/>
        </w:rPr>
        <w:t>jog</w:t>
      </w:r>
      <w:r w:rsidRPr="003249D9">
        <w:rPr>
          <w:rFonts w:asciiTheme="minorHAnsi" w:hAnsiTheme="minorHAnsi"/>
        </w:rPr>
        <w:t>szabálysértést követ</w:t>
      </w:r>
      <w:r w:rsidR="008F7DEF">
        <w:rPr>
          <w:rFonts w:asciiTheme="minorHAnsi" w:hAnsiTheme="minorHAnsi"/>
        </w:rPr>
        <w:t>nek</w:t>
      </w:r>
      <w:r w:rsidRPr="003249D9">
        <w:rPr>
          <w:rFonts w:asciiTheme="minorHAnsi" w:hAnsiTheme="minorHAnsi"/>
        </w:rPr>
        <w:t xml:space="preserve"> el. Ugyanakkor a felszámolók és a bírók néhány további szempontot is kiemelnek, amelyek jól illusztrálják, hogy többféle probléma áll a felszámolási eljárások jelenlegi elmélete és gyakorlata mögött. Ezeket a problémákat a következőképpen lehet osztályozni és összegezni.</w:t>
      </w:r>
    </w:p>
    <w:p w:rsidR="00BF6ACB" w:rsidRPr="003249D9" w:rsidRDefault="00AB7CFF" w:rsidP="00BF6ACB">
      <w:pPr>
        <w:pStyle w:val="TASTextheading3"/>
        <w:rPr>
          <w:rFonts w:asciiTheme="minorHAnsi" w:hAnsiTheme="minorHAnsi"/>
        </w:rPr>
      </w:pPr>
      <w:r w:rsidRPr="003249D9">
        <w:rPr>
          <w:rFonts w:asciiTheme="minorHAnsi" w:hAnsiTheme="minorHAnsi"/>
        </w:rPr>
        <w:t>7.1.2. A hitelezők jogai</w:t>
      </w:r>
      <w:r w:rsidR="00DB02A0">
        <w:rPr>
          <w:rStyle w:val="FootnoteReference"/>
          <w:rFonts w:asciiTheme="minorHAnsi" w:hAnsiTheme="minorHAnsi"/>
        </w:rPr>
        <w:footnoteReference w:id="13"/>
      </w:r>
    </w:p>
    <w:p w:rsidR="00BF6ACB" w:rsidRPr="003249D9" w:rsidRDefault="00AB7CFF" w:rsidP="00BF6ACB">
      <w:pPr>
        <w:pStyle w:val="TASTextheading3"/>
        <w:rPr>
          <w:rFonts w:asciiTheme="minorHAnsi" w:hAnsiTheme="minorHAnsi"/>
        </w:rPr>
      </w:pPr>
      <w:r w:rsidRPr="003249D9">
        <w:rPr>
          <w:rFonts w:asciiTheme="minorHAnsi" w:hAnsiTheme="minorHAnsi"/>
        </w:rPr>
        <w:t>Gyakorlati jogi kérdések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Az átláthatóság hiánya, az eljárások feletti ellenőrzés gyengesége:</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jelenlegi jogszabályi keretrendszer alapján a felszámoló a teljes eljárás végső irányítója. A Csődtörvény viszont nem tartalmaz részletes rendelkezéseket arról, hogy ezt miként kell végrehajtani. A Felszámolók és Vagyonfelügyelők Országos Egyesülete több iránymutatást és elvet dolgozott ki tagjai számára, ezek a dokumentumok </w:t>
      </w:r>
      <w:r w:rsidR="008F7DEF">
        <w:rPr>
          <w:rFonts w:asciiTheme="minorHAnsi" w:hAnsiTheme="minorHAnsi"/>
        </w:rPr>
        <w:t xml:space="preserve">azonban </w:t>
      </w:r>
      <w:r w:rsidRPr="003249D9">
        <w:rPr>
          <w:rFonts w:asciiTheme="minorHAnsi" w:hAnsiTheme="minorHAnsi"/>
        </w:rPr>
        <w:t xml:space="preserve">nem kötelezik a tagokat. Ennek megfelelően a felszámolási eljárások menete </w:t>
      </w:r>
      <w:proofErr w:type="gramStart"/>
      <w:r w:rsidRPr="003249D9">
        <w:rPr>
          <w:rFonts w:asciiTheme="minorHAnsi" w:hAnsiTheme="minorHAnsi"/>
        </w:rPr>
        <w:t>nagy mértékben</w:t>
      </w:r>
      <w:proofErr w:type="gramEnd"/>
      <w:r w:rsidRPr="003249D9">
        <w:rPr>
          <w:rFonts w:asciiTheme="minorHAnsi" w:hAnsiTheme="minorHAnsi"/>
        </w:rPr>
        <w:t xml:space="preserve"> attól függ, hogy az adott ügyben eljáró </w:t>
      </w:r>
      <w:proofErr w:type="spellStart"/>
      <w:r w:rsidRPr="003249D9">
        <w:rPr>
          <w:rFonts w:asciiTheme="minorHAnsi" w:hAnsiTheme="minorHAnsi"/>
        </w:rPr>
        <w:t>felszámoló</w:t>
      </w:r>
      <w:r w:rsidR="008F7DEF">
        <w:rPr>
          <w:rFonts w:asciiTheme="minorHAnsi" w:hAnsiTheme="minorHAnsi"/>
        </w:rPr>
        <w:t>biztos</w:t>
      </w:r>
      <w:proofErr w:type="spellEnd"/>
      <w:r w:rsidRPr="003249D9">
        <w:rPr>
          <w:rFonts w:asciiTheme="minorHAnsi" w:hAnsiTheme="minorHAnsi"/>
        </w:rPr>
        <w:t xml:space="preserve"> milyen hozzáállást tanúsít.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hitelezők arról számolnak be, hogy nincs tényleges befolyásuk arra vonatkozóan, mi és mikor történjen a felszámolási eljárás során. A felszámolónak felszámolási ütemtervet kell készítenie, amelyet kérésre be kell mutatnia a hitelezőknek, de a gyakorlat azt mutatja, hogy ez nem minden esetben történik meg.</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felszámoló bármilyen, az adós által kötött szerződést felmondhat (lásd a Jogi háttér című fejezet 5.9 pontját (</w:t>
      </w:r>
      <w:r w:rsidRPr="003249D9">
        <w:rPr>
          <w:rFonts w:asciiTheme="minorHAnsi" w:hAnsiTheme="minorHAnsi"/>
          <w:i/>
        </w:rPr>
        <w:t>Az érvénytelenítés kockázatának kitett ügyletek</w:t>
      </w:r>
      <w:r w:rsidRPr="003249D9">
        <w:rPr>
          <w:rFonts w:asciiTheme="minorHAnsi" w:hAnsiTheme="minorHAnsi"/>
        </w:rPr>
        <w:t>). A hitelezők úgy vélik, hogy több befolyáshoz kellene jutniuk a fontos szerződések felmondásával kapcsolatosan, beleértve azt a jogot is, hogy bizonyos szerződések felmondásánál kérjék ki a jóváhagyásukat, vagy utasíthassák a felszámolót bizonyos szerződések felmondására.</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hitelezők kifogásolási jogához kapcsolódó problémák miatt a hitelezőknek nincsenek hatékony ellentmondási lehetőségeik a felszámolási költségekre vonatkozóan, például az adós vagyonának és dokumentumainak tárolására vonatkozó túlárazott szerződések esetében.</w:t>
      </w:r>
    </w:p>
    <w:p w:rsidR="00BF6ACB" w:rsidRPr="003249D9" w:rsidRDefault="00AB7CFF" w:rsidP="00BF6ACB">
      <w:pPr>
        <w:pStyle w:val="TASTextheading3"/>
        <w:rPr>
          <w:rFonts w:asciiTheme="minorHAnsi" w:hAnsiTheme="minorHAnsi"/>
        </w:rPr>
      </w:pPr>
      <w:r w:rsidRPr="003249D9">
        <w:rPr>
          <w:rFonts w:asciiTheme="minorHAnsi" w:hAnsiTheme="minorHAnsi"/>
        </w:rPr>
        <w:t>Lehetséges megoldások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Felszámolók és Vagyonfelügyelők Országos Egyesülete kamarává alakítása.</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w:t>
      </w:r>
      <w:r w:rsidR="008F7DEF">
        <w:rPr>
          <w:rFonts w:asciiTheme="minorHAnsi" w:hAnsiTheme="minorHAnsi"/>
        </w:rPr>
        <w:t>z Egyesület</w:t>
      </w:r>
      <w:r w:rsidRPr="003249D9">
        <w:rPr>
          <w:rFonts w:asciiTheme="minorHAnsi" w:hAnsiTheme="minorHAnsi"/>
        </w:rPr>
        <w:t xml:space="preserve"> úgy véli, hogy hatékonyabban tudna működni kamarai formában, a Magyar Bírósági Végrehajtói Kamarához hasonlóan. Jelenleg a felszámolók-vagyonfelügyelők kizárólag önkéntes alapon lépnek be az Egyesületbe, ezért vannak olyan cégek, amelyek ezzel a tevékenységgel foglalkoznak, de nem tagok.</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Ha a</w:t>
      </w:r>
      <w:r w:rsidR="008A6849">
        <w:rPr>
          <w:rFonts w:asciiTheme="minorHAnsi" w:hAnsiTheme="minorHAnsi"/>
        </w:rPr>
        <w:t>z Egyesület</w:t>
      </w:r>
      <w:r w:rsidRPr="003249D9">
        <w:rPr>
          <w:rFonts w:asciiTheme="minorHAnsi" w:hAnsiTheme="minorHAnsi"/>
        </w:rPr>
        <w:t xml:space="preserve"> kamaraként működne:</w:t>
      </w:r>
    </w:p>
    <w:p w:rsidR="00BF6ACB" w:rsidRPr="003249D9" w:rsidRDefault="00AB7CFF" w:rsidP="009A73FD">
      <w:pPr>
        <w:pStyle w:val="TASBulletnumber"/>
        <w:numPr>
          <w:ilvl w:val="0"/>
          <w:numId w:val="45"/>
        </w:numPr>
        <w:ind w:left="720"/>
        <w:rPr>
          <w:rFonts w:asciiTheme="minorHAnsi" w:hAnsiTheme="minorHAnsi"/>
        </w:rPr>
      </w:pPr>
      <w:r w:rsidRPr="003249D9">
        <w:rPr>
          <w:rFonts w:asciiTheme="minorHAnsi" w:hAnsiTheme="minorHAnsi"/>
        </w:rPr>
        <w:t>a</w:t>
      </w:r>
      <w:r w:rsidR="008A6849">
        <w:rPr>
          <w:rFonts w:asciiTheme="minorHAnsi" w:hAnsiTheme="minorHAnsi"/>
        </w:rPr>
        <w:t xml:space="preserve">z </w:t>
      </w:r>
      <w:proofErr w:type="spellStart"/>
      <w:r w:rsidR="008A6849">
        <w:rPr>
          <w:rFonts w:asciiTheme="minorHAnsi" w:hAnsiTheme="minorHAnsi"/>
        </w:rPr>
        <w:t>Egyesület</w:t>
      </w:r>
      <w:r w:rsidRPr="003249D9">
        <w:rPr>
          <w:rFonts w:asciiTheme="minorHAnsi" w:hAnsiTheme="minorHAnsi"/>
        </w:rPr>
        <w:t>által</w:t>
      </w:r>
      <w:proofErr w:type="spellEnd"/>
      <w:r w:rsidRPr="003249D9">
        <w:rPr>
          <w:rFonts w:asciiTheme="minorHAnsi" w:hAnsiTheme="minorHAnsi"/>
        </w:rPr>
        <w:t xml:space="preserve"> kidolgozott gyakorlati iránymutatások és ajánlások kötelezőek lennének minden felszámolóra-vagyonfelügyelőre és ezek alkalmazottaira, hasonlóan az Ügyvédi Kamara működési módjához;</w:t>
      </w:r>
    </w:p>
    <w:p w:rsidR="00BF6ACB" w:rsidRPr="003249D9" w:rsidRDefault="00AB7CFF" w:rsidP="009A73FD">
      <w:pPr>
        <w:pStyle w:val="TASBulletnumber"/>
        <w:numPr>
          <w:ilvl w:val="0"/>
          <w:numId w:val="40"/>
        </w:numPr>
        <w:ind w:left="720"/>
        <w:rPr>
          <w:rFonts w:asciiTheme="minorHAnsi" w:hAnsiTheme="minorHAnsi"/>
        </w:rPr>
      </w:pPr>
      <w:r w:rsidRPr="003249D9">
        <w:rPr>
          <w:rFonts w:asciiTheme="minorHAnsi" w:hAnsiTheme="minorHAnsi"/>
        </w:rPr>
        <w:t>a</w:t>
      </w:r>
      <w:r w:rsidR="008A6849">
        <w:rPr>
          <w:rFonts w:asciiTheme="minorHAnsi" w:hAnsiTheme="minorHAnsi"/>
        </w:rPr>
        <w:t>z</w:t>
      </w:r>
      <w:r w:rsidRPr="003249D9">
        <w:rPr>
          <w:rFonts w:asciiTheme="minorHAnsi" w:hAnsiTheme="minorHAnsi"/>
        </w:rPr>
        <w:t xml:space="preserve"> </w:t>
      </w:r>
      <w:r w:rsidR="008A6849">
        <w:rPr>
          <w:rFonts w:asciiTheme="minorHAnsi" w:hAnsiTheme="minorHAnsi"/>
        </w:rPr>
        <w:t>Egyesület</w:t>
      </w:r>
      <w:r w:rsidR="008A6849" w:rsidRPr="003249D9" w:rsidDel="008A6849">
        <w:rPr>
          <w:rFonts w:asciiTheme="minorHAnsi" w:hAnsiTheme="minorHAnsi"/>
        </w:rPr>
        <w:t xml:space="preserve"> </w:t>
      </w:r>
      <w:r w:rsidRPr="003249D9">
        <w:rPr>
          <w:rFonts w:asciiTheme="minorHAnsi" w:hAnsiTheme="minorHAnsi"/>
        </w:rPr>
        <w:t>aktívabb szerepet játszhatna a felszámoló-vagyonfelügyelő tagok felügyeletében és figyelemmel kísérésében és a panaszok kezelésében.</w:t>
      </w:r>
    </w:p>
    <w:p w:rsidR="00BF6ACB" w:rsidRPr="003249D9" w:rsidRDefault="00AB7CFF" w:rsidP="009A73FD">
      <w:pPr>
        <w:pStyle w:val="TASBulletnumber"/>
        <w:numPr>
          <w:ilvl w:val="0"/>
          <w:numId w:val="40"/>
        </w:numPr>
        <w:ind w:left="720"/>
        <w:rPr>
          <w:rFonts w:asciiTheme="minorHAnsi" w:hAnsiTheme="minorHAnsi"/>
        </w:rPr>
      </w:pPr>
      <w:r w:rsidRPr="003249D9">
        <w:rPr>
          <w:rFonts w:asciiTheme="minorHAnsi" w:hAnsiTheme="minorHAnsi"/>
        </w:rPr>
        <w:lastRenderedPageBreak/>
        <w:t>a szakmai anyagok jelentősen hozzájárulnának ahhoz, hogy egységes gyakorlat alakuljon ki a felszámolók-vagyonkezelők körében, például a felszámolás során történő értékesítésben; illetve</w:t>
      </w:r>
    </w:p>
    <w:p w:rsidR="00BF6ACB" w:rsidRPr="003249D9" w:rsidRDefault="00AB7CFF" w:rsidP="009A73FD">
      <w:pPr>
        <w:pStyle w:val="TASBulletnumber"/>
        <w:numPr>
          <w:ilvl w:val="0"/>
          <w:numId w:val="40"/>
        </w:numPr>
        <w:ind w:left="720"/>
        <w:rPr>
          <w:rFonts w:asciiTheme="minorHAnsi" w:hAnsiTheme="minorHAnsi"/>
        </w:rPr>
      </w:pPr>
      <w:r w:rsidRPr="003249D9">
        <w:rPr>
          <w:rFonts w:asciiTheme="minorHAnsi" w:hAnsiTheme="minorHAnsi"/>
        </w:rPr>
        <w:t>az erkölcsi és fegyelmi előírásokat szintén jobban betartanák akkor, ha minden felszámoló-vagyonfelügyelő tagja lenne a kamarának.</w:t>
      </w:r>
    </w:p>
    <w:p w:rsidR="00BF6ACB" w:rsidRPr="003249D9" w:rsidRDefault="00AB7CFF" w:rsidP="009A73FD">
      <w:pPr>
        <w:pStyle w:val="TASBulletnumber"/>
        <w:numPr>
          <w:ilvl w:val="0"/>
          <w:numId w:val="40"/>
        </w:numPr>
        <w:ind w:left="720"/>
        <w:rPr>
          <w:rFonts w:asciiTheme="minorHAnsi" w:hAnsiTheme="minorHAnsi"/>
        </w:rPr>
      </w:pPr>
      <w:r w:rsidRPr="003249D9">
        <w:rPr>
          <w:rFonts w:asciiTheme="minorHAnsi" w:hAnsiTheme="minorHAnsi"/>
        </w:rPr>
        <w:t>A fentieket törvénnyel kellene szabályozni.</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kérdések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hitelezőknek nincs megfelelő képviseletük:</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Elvileg a hitelezői választmány vagy a hitelezői képviselő képviselné a hitelezők érdekeit, különösen a nagyobb eljárásokban, melyekben több hitelező is részt vesz.</w:t>
      </w:r>
      <w:r w:rsidR="00405471">
        <w:rPr>
          <w:rFonts w:asciiTheme="minorHAnsi" w:hAnsiTheme="minorHAnsi"/>
        </w:rPr>
        <w:t xml:space="preserve"> </w:t>
      </w:r>
      <w:r w:rsidRPr="003249D9">
        <w:rPr>
          <w:rFonts w:asciiTheme="minorHAnsi" w:hAnsiTheme="minorHAnsi"/>
        </w:rPr>
        <w:t>Ezek a koncepciók azonban az alábbi okok miatt csak az esetek egy részében működnek.</w:t>
      </w:r>
    </w:p>
    <w:p w:rsidR="00BF6ACB" w:rsidRPr="003249D9" w:rsidRDefault="00AB7CFF" w:rsidP="009A73FD">
      <w:pPr>
        <w:pStyle w:val="TASBullet2"/>
        <w:numPr>
          <w:ilvl w:val="1"/>
          <w:numId w:val="46"/>
        </w:numPr>
        <w:rPr>
          <w:rFonts w:asciiTheme="minorHAnsi" w:hAnsiTheme="minorHAnsi"/>
        </w:rPr>
      </w:pPr>
      <w:proofErr w:type="gramStart"/>
      <w:r w:rsidRPr="003249D9">
        <w:rPr>
          <w:rFonts w:asciiTheme="minorHAnsi" w:hAnsiTheme="minorHAnsi"/>
        </w:rPr>
        <w:t>Úgy tűnik, hogy túlságosan nagy adminisztrációs teher nyomja a hitelezők vállát a fentiekkel kapcsolatosan, ami a választmány létrehozásával és működtetésével kapcsolatos általános koordinációs munkát, az ülések megszervezését, a jegyzőkönyvvezetést, a rendszeres tájékoztatást, a bírósággal és a felszámolóval való kapcsolattartást, megállapodások megszövegezését (pl. a választmány/képviselő jogairól, működési pénzügyi forrásairól, a költségek és kiadások szabályozásáról) illeti, valamint a szabályzatokkal (pl. a szavazási eljárásról és a hitelezők közötti információáramlásról) és azzal kapcsolatosan,</w:t>
      </w:r>
      <w:proofErr w:type="gramEnd"/>
      <w:r w:rsidRPr="003249D9">
        <w:rPr>
          <w:rFonts w:asciiTheme="minorHAnsi" w:hAnsiTheme="minorHAnsi"/>
        </w:rPr>
        <w:t xml:space="preserve"> hogy ezeknek a dokumentumoknak véglegesítsék/letárgyalják a szövegét a többi hitelezővel. </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Mivel a legtöbb felszámolási eljárást „üres” cégek ellen indítják, a hitelezők úgy érzik, hogy a várható megtérülést figyelembe véve a választmány létrehozása vagy egy képviselő kinevezése nem éri meg a fáradságot és a költségeket. </w:t>
      </w:r>
    </w:p>
    <w:p w:rsidR="00BF6ACB" w:rsidRPr="003249D9" w:rsidRDefault="00AB7CFF" w:rsidP="00BF6ACB">
      <w:pPr>
        <w:pStyle w:val="TASTextheading3"/>
        <w:rPr>
          <w:rFonts w:asciiTheme="minorHAnsi" w:hAnsiTheme="minorHAnsi"/>
        </w:rPr>
      </w:pPr>
      <w:r w:rsidRPr="003249D9">
        <w:rPr>
          <w:rFonts w:asciiTheme="minorHAnsi" w:hAnsiTheme="minorHAnsi"/>
        </w:rPr>
        <w:t>Lehetséges megoldások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Amennyiben a felszámolási eljárások hatékonysága hosszú távon javulna, és a hitelezők követeléseik nagyobb mértékű megtérülésére számíthatnának, talán jobban megfontolnák hitelezői választmány megalakítását vagy hitelezői képviselő megválasztását.</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Emellett a hitelezői választmány és a hitelezői képviselő jogait szintén erősíteni kell, különösen a felszámolás miatti értékesítéseknél (lásd alább).</w:t>
      </w:r>
    </w:p>
    <w:p w:rsidR="00BF6ACB" w:rsidRPr="003249D9" w:rsidRDefault="00AB7CFF" w:rsidP="00BF6ACB">
      <w:pPr>
        <w:pStyle w:val="TASTextheading3"/>
        <w:rPr>
          <w:rFonts w:asciiTheme="minorHAnsi" w:hAnsiTheme="minorHAnsi"/>
        </w:rPr>
      </w:pPr>
      <w:r w:rsidRPr="003249D9">
        <w:rPr>
          <w:rFonts w:asciiTheme="minorHAnsi" w:hAnsiTheme="minorHAnsi"/>
        </w:rPr>
        <w:t xml:space="preserve">7.1.3. Felszámolási értékesítés </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kérdések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Az átláthatóság hiánya, az értékesítés feletti ellenőrzés gyengesége:</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felszámolási eljárások leglényegesebb része az adós vagyonának értékesítése. Ezért rendkívül fontos lenne a hitelezők számára, hogy megfelelő áttekintést kapjanak az értékesítésekről, és tényleges befolyást tudjanak gyakorolni az eladási árra az értékesítés előtt és alatt.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biztosított hitelezőket nem vonják be a számukra biztosítékként szolgáló vagyontárgyak eladásába, de segíthetik a felszámolót a vagyon értékelésében és kezelésében. A biztosított hitelezők úgy vélik, hasznos lenne, ha nagyobb befolyásuk lenne a vagyontárgyak megőrzésének és állagmegóvásának költségeire.</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potenciális vevők köre korlátozott: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bankok tapasztalatai szerint a szakmai befektetők nem szívesen vásárolnak eszközöket közvetlenül felszámolásból, inkább közvetlenül a banktól vennék meg azokat. A bank viszont az érintett zálogtárgyakat csak a felszámoló két sikertelen értékesítési kísérlete után szerezheti meg. Így a bankok általában csak nehézségek árán tudják megszerezni a zálogtárgyakat a hosszadalmas értékesítési eljárás miatt, melynek során a potenciális befektetők elveszhetik érdeklődésüket a vagyontárgy iránt.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gyakorlatban hiányzik egy széles körben ismert, megfelelően hirdetett és felhasználóbarát értékesítési weboldal a licitálás elősegítésére. Így nem biztosított a „valódi” vevők szélesebb körének elérése, mivel a piac koncentrált és a kényszerértékesítésre pályázó vevők negatívan hatnak rá.</w:t>
      </w:r>
    </w:p>
    <w:p w:rsidR="00BF6ACB" w:rsidRPr="003249D9" w:rsidRDefault="00AB7CFF" w:rsidP="00BF6ACB">
      <w:pPr>
        <w:pStyle w:val="TASTextheading3"/>
        <w:rPr>
          <w:rFonts w:asciiTheme="minorHAnsi" w:hAnsiTheme="minorHAnsi"/>
        </w:rPr>
      </w:pPr>
      <w:r w:rsidRPr="003249D9">
        <w:rPr>
          <w:rFonts w:asciiTheme="minorHAnsi" w:hAnsiTheme="minorHAnsi"/>
        </w:rPr>
        <w:t>Lehetséges megoldások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következő elképzelések javíthatnák a felszámolási értékesítések hatékonyságát, és/vagy növelhetnék a hitelezők részére befolyt összegeket: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lastRenderedPageBreak/>
        <w:t>Be lehetne vezetni egy ésszerű és progresszív rendszert, amelyben a felszámoló díjazása a teljesítményétől függene. Konkrétabban, minél több idő telne el az értékesítés alatt, annál kisebb százalékos javadalmazásra lenne jogosult a felszámoló a befolyt bevételből.</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Figyelembe véve, hogy a biztosított hitelezők már jelenleg is különleges státuszt élveznek a felszámolási eljárás során, erősebb jogokat kellene kapniuk a zálogtárgyak értékesítése során is, kizárólag azért, hogy növekedjen az értékesítés hatékonysága. Például a következőkre is jogokat kaphatnának:</w:t>
      </w:r>
    </w:p>
    <w:p w:rsidR="00BF6ACB" w:rsidRPr="003249D9" w:rsidRDefault="00AB7CFF" w:rsidP="009A73FD">
      <w:pPr>
        <w:pStyle w:val="TASBullet2"/>
        <w:numPr>
          <w:ilvl w:val="0"/>
          <w:numId w:val="41"/>
        </w:numPr>
        <w:rPr>
          <w:rFonts w:asciiTheme="minorHAnsi" w:hAnsiTheme="minorHAnsi"/>
        </w:rPr>
      </w:pPr>
      <w:r w:rsidRPr="003249D9">
        <w:rPr>
          <w:rFonts w:asciiTheme="minorHAnsi" w:hAnsiTheme="minorHAnsi"/>
        </w:rPr>
        <w:t xml:space="preserve">hirdetmények közzététele az értékesítéssel kapcsolatban, </w:t>
      </w:r>
    </w:p>
    <w:p w:rsidR="00BF6ACB" w:rsidRPr="003249D9" w:rsidRDefault="00AB7CFF" w:rsidP="009A73FD">
      <w:pPr>
        <w:pStyle w:val="TASBullet2"/>
        <w:numPr>
          <w:ilvl w:val="0"/>
          <w:numId w:val="41"/>
        </w:numPr>
        <w:rPr>
          <w:rFonts w:asciiTheme="minorHAnsi" w:hAnsiTheme="minorHAnsi"/>
        </w:rPr>
      </w:pPr>
      <w:r w:rsidRPr="003249D9">
        <w:rPr>
          <w:rFonts w:asciiTheme="minorHAnsi" w:hAnsiTheme="minorHAnsi"/>
        </w:rPr>
        <w:t xml:space="preserve">nagyobb befolyás a vagyontárgy értékének megállapításában, </w:t>
      </w:r>
    </w:p>
    <w:p w:rsidR="00BF6ACB" w:rsidRPr="003249D9" w:rsidRDefault="00AB7CFF" w:rsidP="009A73FD">
      <w:pPr>
        <w:pStyle w:val="TASBullet2"/>
        <w:numPr>
          <w:ilvl w:val="0"/>
          <w:numId w:val="41"/>
        </w:numPr>
        <w:rPr>
          <w:rFonts w:asciiTheme="minorHAnsi" w:hAnsiTheme="minorHAnsi"/>
        </w:rPr>
      </w:pPr>
      <w:r w:rsidRPr="003249D9">
        <w:rPr>
          <w:rFonts w:asciiTheme="minorHAnsi" w:hAnsiTheme="minorHAnsi"/>
        </w:rPr>
        <w:t xml:space="preserve">alternatíva ajánlása az értékesítéshez, </w:t>
      </w:r>
    </w:p>
    <w:p w:rsidR="00BF6ACB" w:rsidRPr="003249D9" w:rsidRDefault="00AB7CFF" w:rsidP="009A73FD">
      <w:pPr>
        <w:pStyle w:val="TASBullet2"/>
        <w:numPr>
          <w:ilvl w:val="0"/>
          <w:numId w:val="41"/>
        </w:numPr>
        <w:rPr>
          <w:rFonts w:asciiTheme="minorHAnsi" w:hAnsiTheme="minorHAnsi"/>
        </w:rPr>
      </w:pPr>
      <w:r w:rsidRPr="003249D9">
        <w:rPr>
          <w:rFonts w:asciiTheme="minorHAnsi" w:hAnsiTheme="minorHAnsi"/>
        </w:rPr>
        <w:t xml:space="preserve">a felszámoló által javasolt értékesítés jóváhagyása vagy elvetése, vagy </w:t>
      </w:r>
    </w:p>
    <w:p w:rsidR="00BF6ACB" w:rsidRPr="003249D9" w:rsidRDefault="00AB7CFF" w:rsidP="009A73FD">
      <w:pPr>
        <w:pStyle w:val="TASBullet2"/>
        <w:numPr>
          <w:ilvl w:val="0"/>
          <w:numId w:val="41"/>
        </w:numPr>
        <w:rPr>
          <w:rFonts w:asciiTheme="minorHAnsi" w:hAnsiTheme="minorHAnsi"/>
        </w:rPr>
      </w:pPr>
      <w:r w:rsidRPr="003249D9">
        <w:rPr>
          <w:rFonts w:asciiTheme="minorHAnsi" w:hAnsiTheme="minorHAnsi"/>
        </w:rPr>
        <w:t>végső soron maguk is eladhatják a zálogtárgyat.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Mindezeken felül vannak példák bizonyos EU tagországokban (pl. Németországban, ingatlanokat illetően Svédországban, bizonyos megkötésekkel Luxemburgban) arra, hogy a biztosított hitelezők megtartják a jogot a biztosított érdekeltségeikre a fizetésképtelenségi eljáráson kívül is.</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 potenciális vevők ösztönzése érdekében bizonyos adó- és járulékkedvezményeket lehetne adni azoknak a magánszemélyeknek / jogi személyeknek, </w:t>
      </w:r>
      <w:proofErr w:type="gramStart"/>
      <w:r w:rsidRPr="003249D9">
        <w:rPr>
          <w:rFonts w:asciiTheme="minorHAnsi" w:hAnsiTheme="minorHAnsi"/>
        </w:rPr>
        <w:t>akik</w:t>
      </w:r>
      <w:proofErr w:type="gramEnd"/>
      <w:r w:rsidRPr="003249D9">
        <w:rPr>
          <w:rFonts w:asciiTheme="minorHAnsi" w:hAnsiTheme="minorHAnsi"/>
        </w:rPr>
        <w:t xml:space="preserve"> illetve amelyek vagyontárgyakat vásárolnak felszámolás során (lásd a 1.2.1 pontot A követelés értékesítése / </w:t>
      </w:r>
      <w:r w:rsidRPr="003249D9">
        <w:rPr>
          <w:rFonts w:asciiTheme="minorHAnsi" w:hAnsiTheme="minorHAnsi"/>
          <w:i/>
        </w:rPr>
        <w:t>ÁFA)</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kérdések.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felszámoló jogosult annak eldöntésére, hogy fenntartja-e az adós működését a felszámolás alatt. A kérdés, hogy fenntartsák-e az adós működését, konfliktusokat okozhat a hitelezők között. Például a biztosított hitelezők azt várják el a felszámolótól, hogy a lehető leghamarabb adja el a zálogtárgyat, hogy nekik is minél hamarabb befolyjon a követelésük. Ugyanakkor a nem-biztosított hitelezők inkább abban érdekeltek, hogy fenntartsák az adós gazdasági tevékenységét, mivel csak ennek a működésnek a hozamából várhatnak némi megtérülést.</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 felszámolónak a vagyontárgyakat az adott piaci körülmények között elérhető legmagasabb áron kell eladnia. Saját </w:t>
      </w:r>
      <w:r w:rsidR="005F136A">
        <w:rPr>
          <w:rFonts w:asciiTheme="minorHAnsi" w:hAnsiTheme="minorHAnsi"/>
        </w:rPr>
        <w:t>értékbecsléseikre</w:t>
      </w:r>
      <w:r w:rsidRPr="003249D9">
        <w:rPr>
          <w:rFonts w:asciiTheme="minorHAnsi" w:hAnsiTheme="minorHAnsi"/>
        </w:rPr>
        <w:t xml:space="preserve"> alapozva (amelyek a felszámolók véleménye szerint bizonyos esetekben </w:t>
      </w:r>
      <w:r w:rsidR="00AC718E">
        <w:rPr>
          <w:rFonts w:asciiTheme="minorHAnsi" w:hAnsiTheme="minorHAnsi"/>
        </w:rPr>
        <w:t>túlzóak lehetnek</w:t>
      </w:r>
      <w:r w:rsidRPr="003249D9">
        <w:rPr>
          <w:rFonts w:asciiTheme="minorHAnsi" w:hAnsiTheme="minorHAnsi"/>
        </w:rPr>
        <w:t>), a biztosított hitelezők általában ellenzik az értékesítés lefolytatását, amit azzal indokolnak, hogy szerintük a felszámoló a vagyontárgyat áron alul akarja értékesíteni. Ezek a kifogások jelentősen késleltetik az egész eljárást. A felszámolók és a biztosított hitelezők között szorosabb együttműködésre lenne szükség ezen a területen, hogy csökkenjenek a késedelmek.</w:t>
      </w:r>
      <w:r w:rsidRPr="003249D9">
        <w:rPr>
          <w:rStyle w:val="FootnoteReference"/>
          <w:rFonts w:asciiTheme="minorHAnsi" w:hAnsiTheme="minorHAnsi"/>
        </w:rPr>
        <w:footnoteReference w:id="14"/>
      </w:r>
      <w:r w:rsidR="00405471">
        <w:rPr>
          <w:rFonts w:asciiTheme="minorHAnsi" w:hAnsiTheme="minorHAnsi"/>
        </w:rPr>
        <w:t xml:space="preserve"> </w:t>
      </w:r>
    </w:p>
    <w:p w:rsidR="00BF6ACB" w:rsidRPr="003249D9" w:rsidRDefault="00AB7CFF" w:rsidP="00BF6ACB">
      <w:pPr>
        <w:pStyle w:val="TASTextheading3"/>
        <w:rPr>
          <w:rFonts w:asciiTheme="minorHAnsi" w:hAnsiTheme="minorHAnsi"/>
        </w:rPr>
      </w:pPr>
      <w:r w:rsidRPr="003249D9">
        <w:rPr>
          <w:rFonts w:asciiTheme="minorHAnsi" w:hAnsiTheme="minorHAnsi"/>
        </w:rPr>
        <w:t>Lehetséges megoldások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hitelezők jogait meg kellene erősíteni a felszámoló döntéseinek felülvizsgálatában, például akkor, amikor döntést kell hozni az adós üzleti tevékenységének a fenntartásáról.</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Megfontolandó egy, a biztosított hitelezők számára fennálló külön eljárás bevezetése, mely szerint a felszámolónak minden zálogtárgy értékesítése előtt be kellene szereznie az érintett - biztosított és nem biztosított - hitelezők előzetes engedélyét és véleményét, illetve a biztosított hitelezőknek lehetőséget adna annak eldöntésére, hogy a zálogtárgyakat a felszámolási eljárás kezdetekor a felszámolási vagyontól elkülönítve kezeljék.</w:t>
      </w:r>
    </w:p>
    <w:p w:rsidR="00BF6ACB" w:rsidRPr="003249D9" w:rsidRDefault="00AB7CFF" w:rsidP="00BF6ACB">
      <w:pPr>
        <w:pStyle w:val="TASTextheading3"/>
        <w:rPr>
          <w:rFonts w:asciiTheme="minorHAnsi" w:hAnsiTheme="minorHAnsi"/>
        </w:rPr>
      </w:pPr>
      <w:r w:rsidRPr="003249D9">
        <w:rPr>
          <w:rFonts w:asciiTheme="minorHAnsi" w:hAnsiTheme="minorHAnsi"/>
        </w:rPr>
        <w:t>7.1.4. A felszámolók szerepe</w:t>
      </w:r>
      <w:r w:rsidR="00A8061C">
        <w:rPr>
          <w:rStyle w:val="FootnoteReference"/>
          <w:rFonts w:asciiTheme="minorHAnsi" w:hAnsiTheme="minorHAnsi"/>
        </w:rPr>
        <w:footnoteReference w:id="15"/>
      </w:r>
      <w:r w:rsidRPr="003249D9">
        <w:rPr>
          <w:rFonts w:asciiTheme="minorHAnsi" w:hAnsiTheme="minorHAnsi"/>
        </w:rPr>
        <w:t xml:space="preserve"> </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kérdések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Tisztázatlan jogállás és összeférhetetlenség:</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lastRenderedPageBreak/>
        <w:t xml:space="preserve">A bírók és a Felszámolók és Vagyonfelügyelők Országos Egyesülete által tapasztalt legsúlyosabb probléma az, hogy a jogszabályok nem határozzák meg világosan a felszámoló jogállását és minőségét. Bizonyos esetekben például egymásnak ellentmondó útmutatást adnak a bíróság felé teendő intézkedésekről, amennyiben a Csődtörvény kimondja, hogy a felszámoló saját nevében jár el, más esetekben viszont azt mondja ki, hogy a felszámoló az adós képviseletében jár el. </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gyakorlatban ez összeférhetetlenséget jelent azok között az érdekek között, amelyeket a felszámolónak kell képviselnie. A hitelezők azon az állásponton vannak, hogy a felszámoló dolga a hitelezők érdekeinek védelme. Bár a hitelezők fontos szereplők és a fizetésképtelenségi eljárást gyakran anyagi veszteséggel kénytelenek lezárni, fontos megjegyezni, hogy a magyar jogszabályok szerint a felszámolók fő kötelessége annak a biztosítása, hogy az adott felszámolási eljárás minden tekintetben korrekt módon bonyolódjon le. </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felszámoló megbízatásának jogi tartalma szintén nem egyértelmű. Nevezetesen, nem egyértelmű az, hogy a felszámoló tevékenysége inkább eredményorientált legyen, vagy kizárólag azért felel, hogy az eljárást tisztességesen és szakszerűen bonyolítsa le. Ez a tisztázatlanság a felszámoló felelősségét is érinti.</w:t>
      </w:r>
    </w:p>
    <w:p w:rsidR="00BF6ACB" w:rsidRPr="003249D9" w:rsidRDefault="00AB7CFF" w:rsidP="00BF6ACB">
      <w:pPr>
        <w:pStyle w:val="TASTextheading3"/>
        <w:rPr>
          <w:rFonts w:asciiTheme="minorHAnsi" w:hAnsiTheme="minorHAnsi"/>
        </w:rPr>
      </w:pPr>
      <w:r w:rsidRPr="003249D9">
        <w:rPr>
          <w:rFonts w:asciiTheme="minorHAnsi" w:hAnsiTheme="minorHAnsi"/>
        </w:rPr>
        <w:t>Lehetséges megoldások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Nyilvánvalóan lényeges, hogy a felszámolók (és a választmányi tagok) munkáját szabályozza egy olyan, nem bírósági testület, amely az adott eljárásban nem vesz részt. Többféle modell létezik, melyek követendő példák lehetnek. Ezekben a modellekben a szabályozó testület vagy:</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bíróság;</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Egy külön szervezet;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Egy jogszabály alapján létrehozott önszabályozó testület;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Egy ezzel a feladattal megbízott minisztérium vagy kormányzati szervezet; vagy</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Egy rendszeres meghallgatásokat tartó bizottság.</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Ami Magyarországot illeti, érdemes lenne megfontolni egy jogszabály szerinti, önszabályozó felszámoló-vagyonfelügyelői testület létrehozását azzal, hogy a Felszámolók és Vagyonfelügyelők Országos Egyesületét kamarává alakítanák. Ennek a szervezetnek lehetne a feladata a </w:t>
      </w:r>
      <w:r w:rsidR="00636032">
        <w:rPr>
          <w:rFonts w:asciiTheme="minorHAnsi" w:hAnsiTheme="minorHAnsi"/>
        </w:rPr>
        <w:t xml:space="preserve">felszámolók tevékenységének nagyobb fokú szabályozása, felügyelete és </w:t>
      </w:r>
      <w:proofErr w:type="gramStart"/>
      <w:r w:rsidR="00636032">
        <w:rPr>
          <w:rFonts w:asciiTheme="minorHAnsi" w:hAnsiTheme="minorHAnsi"/>
        </w:rPr>
        <w:t>afölött</w:t>
      </w:r>
      <w:proofErr w:type="gramEnd"/>
      <w:r w:rsidR="00636032">
        <w:rPr>
          <w:rFonts w:asciiTheme="minorHAnsi" w:hAnsiTheme="minorHAnsi"/>
        </w:rPr>
        <w:t xml:space="preserve"> a fegyelmi jogkör gyakorlása, valamint annak biztosítása, hogy a </w:t>
      </w:r>
      <w:r w:rsidRPr="003249D9">
        <w:rPr>
          <w:rFonts w:asciiTheme="minorHAnsi" w:hAnsiTheme="minorHAnsi"/>
        </w:rPr>
        <w:t>felszámoló</w:t>
      </w:r>
      <w:r w:rsidR="00636032">
        <w:rPr>
          <w:rFonts w:asciiTheme="minorHAnsi" w:hAnsiTheme="minorHAnsi"/>
        </w:rPr>
        <w:t>k</w:t>
      </w:r>
      <w:r w:rsidRPr="003249D9">
        <w:rPr>
          <w:rFonts w:asciiTheme="minorHAnsi" w:hAnsiTheme="minorHAnsi"/>
        </w:rPr>
        <w:t xml:space="preserve"> teljesít</w:t>
      </w:r>
      <w:r w:rsidR="00636032">
        <w:rPr>
          <w:rFonts w:asciiTheme="minorHAnsi" w:hAnsiTheme="minorHAnsi"/>
        </w:rPr>
        <w:t xml:space="preserve">sék a </w:t>
      </w:r>
      <w:r w:rsidRPr="003249D9">
        <w:rPr>
          <w:rFonts w:asciiTheme="minorHAnsi" w:hAnsiTheme="minorHAnsi"/>
        </w:rPr>
        <w:t xml:space="preserve">jogszabályban megszabott </w:t>
      </w:r>
      <w:r w:rsidR="00636032">
        <w:rPr>
          <w:rFonts w:asciiTheme="minorHAnsi" w:hAnsiTheme="minorHAnsi"/>
        </w:rPr>
        <w:t>kötelezettségeiket</w:t>
      </w:r>
      <w:r w:rsidRPr="003249D9">
        <w:rPr>
          <w:rFonts w:asciiTheme="minorHAnsi" w:hAnsiTheme="minorHAnsi"/>
        </w:rPr>
        <w:t xml:space="preserve">. </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felszámoló tájékoztatási kötelezettségét a hitelezők felé különösen az alábbi területeken kellene megerősíteni:</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az általános információkérési jogot az adós pénzügyi helyzetéről minden hitelezőnek meg kellene adni, nem csak hitelezők egy meghatározott csoportjának; illetve</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felszámolót kifejezetten kötelezni kellene arra, hogy tájékoztassa a hitelezőket a vagyontárgyak felszámolási értékesítése előtt és alatt, illetve rendszeres jelleggel.</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Mind a hitelezők, mind pedig a felszámolók számára hasznos lenne, ha a jogszabályi keretrendszerben tisztáznák, mit jelent a felszámoló kizárására okot adó súlyos illetve ismételt törvénysértés. Konkrétabban azt kellene tisztázni, hogy a fenti jogsértést például kiválthatja-e a következők valamelyike: a felszámoló tévesen értelmezi a törvényeket; nem készíti el időben az adós pénzügyi dokumentumait; fenntartja az adós veszteséges üzleti tevékenységét; vagy ha büntetőjogi eljárás indul a felszámoló ellen.</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fenti szabályozó szervezet mellett a felszámolók-vagyonfelügyelők a fizetésképtelenségre szakosodott bíróságok hatékonyabb felügyelete alá is tartoznának.</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kérdések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Kevésbé erőteljes eszközök:</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Az eljárás sikeres lebonyolítása érdekében lényeges, hogy a felszámoló először kapjon elegendő információt az adós vagyonáról. Ha ezeket az információkat megszerezték, a felszámoló hatékony intézkedéseket tehet a rosszhiszemű adósokkal szemben. Erre a célra a felszámolók rendelkezésére álló eszközök nem elég erőteljesek.</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különböző közhiteles nyilvántartásokba való betekintés és az azokban folytatott keresések során a felszámolókat nem illetik meg ugyanazok a jogok, mint a bírósági végrehajtókat. Ugyanakkor nagyon fontos lenne, hogy </w:t>
      </w:r>
      <w:proofErr w:type="gramStart"/>
      <w:r w:rsidRPr="003249D9">
        <w:rPr>
          <w:rFonts w:asciiTheme="minorHAnsi" w:hAnsiTheme="minorHAnsi"/>
        </w:rPr>
        <w:t>átfogó</w:t>
      </w:r>
      <w:proofErr w:type="gramEnd"/>
      <w:r w:rsidRPr="003249D9">
        <w:rPr>
          <w:rFonts w:asciiTheme="minorHAnsi" w:hAnsiTheme="minorHAnsi"/>
        </w:rPr>
        <w:t xml:space="preserve"> képet </w:t>
      </w:r>
      <w:r w:rsidRPr="003249D9">
        <w:rPr>
          <w:rFonts w:asciiTheme="minorHAnsi" w:hAnsiTheme="minorHAnsi"/>
        </w:rPr>
        <w:lastRenderedPageBreak/>
        <w:t>tudjanak alkotni az adós vagyonáról és a vagyon</w:t>
      </w:r>
      <w:r w:rsidR="008358E0">
        <w:rPr>
          <w:rFonts w:asciiTheme="minorHAnsi" w:hAnsiTheme="minorHAnsi"/>
        </w:rPr>
        <w:t>tárgyaka</w:t>
      </w:r>
      <w:r w:rsidRPr="003249D9">
        <w:rPr>
          <w:rFonts w:asciiTheme="minorHAnsi" w:hAnsiTheme="minorHAnsi"/>
        </w:rPr>
        <w:t>t terhelő zálogjogokról, különösen azokban az esetekben, amikor a felszámoló nem kap megfelelő dokumentációt az adóstól. Ezért a felszámolóknak nagyobb hatáskört kellene kapniuk, hogy biztosíthassák harmadik személyek együttműködését.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felszámolóknak meg kell keresniük az adós számlavezető bankjait, hogy információt tudjanak gyűjteni az adós vagyonáról. A gyakorlati tapasztalatok azt mutatják, hogy számos esetben a számlavezető bankok nem válaszolnak ezekre a megkeresésekre. Sajnos a felszámolónak semmilyen eszköz nem áll a rendelkezésére, amellyel rá tudná venni a számlavezető bankokat a válaszra, vagy biztosítani tudná a reagálást.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felszámoló nem hatóság, ezért semmilyen kényszerítő eszköz nem áll a rendelkezésére a rosszhiszemű adósok vagy harmadik személyek elleni fellépéshez. Egy általános gyakorlati példa szerint, az adós köt egy fiktív bérleti szerződést az ingatlanára egy olyan bérlővel, akik saját hozzátartozója. A felszámolónak joga van felmondani a bérleti szerződést, de ha a bérlő nem üríti ki az ingatlant, abban az esetben a felszámolónak kell kezdeményeznie a kilakoltatást bírósági eljárással. Ennek következtében a felszámoló mindaddig nem tudja eladni az ingatlant, amíg az akár évekig is elhúzódó pereskedés le nem zárul.</w:t>
      </w:r>
    </w:p>
    <w:p w:rsidR="00BF6ACB" w:rsidRPr="003249D9" w:rsidRDefault="00AB7CFF" w:rsidP="00BF6ACB">
      <w:pPr>
        <w:pStyle w:val="TASTextheading3"/>
        <w:rPr>
          <w:rFonts w:asciiTheme="minorHAnsi" w:hAnsiTheme="minorHAnsi"/>
        </w:rPr>
      </w:pPr>
      <w:r w:rsidRPr="003249D9">
        <w:rPr>
          <w:rFonts w:asciiTheme="minorHAnsi" w:hAnsiTheme="minorHAnsi"/>
        </w:rPr>
        <w:t>Lehetséges megoldások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jogszabályi keretrendszer alábbi módosításai megkönnyítenék az adós vagyonának és fizetésképtelensége előtti tevékenységeinek a megfelelő felmérését: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Az adós cég vezetőjét azzal kellene hathatósabban rávenni arra, hogy adja át a dokumentációt a felszámolónak és működjön együtt vele, hogy erősebb, akár büntetőjogi eszközöket is tartalmazó szankciókat alkalmazhatnának vele szemben, ha nem tesz eleget ennek a kötelezettségének. Emellett tisztázni kellene, hogy a felszámolás megindítása nem menti fel a vállalkozás vezetőjét a fenti kötelezettségei alól, mivel az együttműködési kötelezettség megszegése hátráltathatja a felszámolót abban, hogy megfelelően felmérje az adós vagyonát és a fizetésképtelenség előtti tevékenységeit, valamint a felszámolás várható eredményét.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felszámolónak mindezeken felül a bírósági végrehajtóéhoz hasonló jogokat kellene kapnia a közhiteles nyilvántartásokba való betekintésre. A földhivataloknak pedig lehetővé kellene tenniük, hogy az adós neve, nem csupán az ingatlan címe vagy helyrajzi száma alapján is lehessen keresni.</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jelenlegi előírást, amely szerint a felszámolónak meg kell keresnie az adós számlavezető bankját, hogy információkat tudjon gyűjteni az adós vagyonáról, ki kell egészíteni a számlavezető banknak azzal a kötelezettségével, hogy válaszoljon erre a megkeresésre, illetve a válasz elmaradása esetén alkalmazandó szankciókkal. Ebben a tekintetben a vonatkozó pénzforgalmi törvényeket módosítani kellene úgy, hogy a felszámoló információs megkeresésének az egyetlen előfeltétele az legyen, hogy a felszámoló mutassa be az őt kinevező bírósági végzést. A</w:t>
      </w:r>
      <w:r w:rsidR="008358E0">
        <w:rPr>
          <w:rFonts w:asciiTheme="minorHAnsi" w:hAnsiTheme="minorHAnsi"/>
        </w:rPr>
        <w:t>z</w:t>
      </w:r>
      <w:r w:rsidRPr="003249D9">
        <w:rPr>
          <w:rFonts w:asciiTheme="minorHAnsi" w:hAnsiTheme="minorHAnsi"/>
        </w:rPr>
        <w:t xml:space="preserve"> információkéréshez nem szabadna feltételként megszabni, hogy a felszámoló adjon le aláírási címpéldányt a számlavezető banknál, ezt csak ahhoz kellene előírni, ha a felszámoló rendelkezni akar a bankszámla felett, például átutalást akar indítani.</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kérdések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felszámolók kinevezése</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Csődtörvény egy nemrégiben bevezetett módosítása szerint a bíró nem térhet el az elektronikus rendszer által kiadott eredménytől (lásd a Jogi háttér fejezet 5.1. pontját (</w:t>
      </w:r>
      <w:r w:rsidRPr="003249D9">
        <w:rPr>
          <w:rFonts w:asciiTheme="minorHAnsi" w:hAnsiTheme="minorHAnsi"/>
          <w:i/>
        </w:rPr>
        <w:t>A felszámolási eljárás megindítása és időtartama</w:t>
      </w:r>
      <w:r w:rsidRPr="003249D9">
        <w:rPr>
          <w:rFonts w:asciiTheme="minorHAnsi" w:hAnsiTheme="minorHAnsi"/>
        </w:rPr>
        <w:t xml:space="preserve">). Következésképpen minden bizonnyal nem a sikertelen csődeljárást lebonyolító </w:t>
      </w:r>
      <w:r w:rsidR="008358E0">
        <w:rPr>
          <w:rFonts w:asciiTheme="minorHAnsi" w:hAnsiTheme="minorHAnsi"/>
        </w:rPr>
        <w:t>vagyonfelügyelőt</w:t>
      </w:r>
      <w:r w:rsidR="008358E0" w:rsidRPr="003249D9">
        <w:rPr>
          <w:rFonts w:asciiTheme="minorHAnsi" w:hAnsiTheme="minorHAnsi"/>
        </w:rPr>
        <w:t xml:space="preserve"> </w:t>
      </w:r>
      <w:r w:rsidRPr="003249D9">
        <w:rPr>
          <w:rFonts w:asciiTheme="minorHAnsi" w:hAnsiTheme="minorHAnsi"/>
        </w:rPr>
        <w:t xml:space="preserve">fogják az utána következő esetleges felszámolási eljárásban felszámolónak kinevezni, ami további idő- és költségráfordítást tehet szükségessé. </w:t>
      </w:r>
    </w:p>
    <w:p w:rsidR="00BF6ACB" w:rsidRPr="003249D9" w:rsidRDefault="00AB7CFF" w:rsidP="00BF6ACB">
      <w:pPr>
        <w:pStyle w:val="TASTextheading3"/>
        <w:rPr>
          <w:rFonts w:asciiTheme="minorHAnsi" w:hAnsiTheme="minorHAnsi"/>
        </w:rPr>
      </w:pPr>
      <w:r w:rsidRPr="003249D9">
        <w:rPr>
          <w:rFonts w:asciiTheme="minorHAnsi" w:hAnsiTheme="minorHAnsi"/>
        </w:rPr>
        <w:t>Lehetséges megoldások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Annak az ismételt törvénybe iktatása, hogy a bírók jogosultak lennének a véletlenszerű elektronikus rendszer eredményétől eltérni, részletes indoklással és kizárólag a jogszabályban meghatározott előfeltételek fennállása esetén, lehetővé tenné, hogy a bírók </w:t>
      </w:r>
      <w:proofErr w:type="gramStart"/>
      <w:r w:rsidRPr="003249D9">
        <w:rPr>
          <w:rFonts w:asciiTheme="minorHAnsi" w:hAnsiTheme="minorHAnsi"/>
        </w:rPr>
        <w:t>ugyanazt  nevezhessék</w:t>
      </w:r>
      <w:proofErr w:type="gramEnd"/>
      <w:r w:rsidRPr="003249D9">
        <w:rPr>
          <w:rFonts w:asciiTheme="minorHAnsi" w:hAnsiTheme="minorHAnsi"/>
        </w:rPr>
        <w:t xml:space="preserve"> ki</w:t>
      </w:r>
      <w:r w:rsidR="008358E0">
        <w:rPr>
          <w:rFonts w:asciiTheme="minorHAnsi" w:hAnsiTheme="minorHAnsi"/>
        </w:rPr>
        <w:t xml:space="preserve"> felszámolónak</w:t>
      </w:r>
      <w:r w:rsidRPr="003249D9">
        <w:rPr>
          <w:rFonts w:asciiTheme="minorHAnsi" w:hAnsiTheme="minorHAnsi"/>
        </w:rPr>
        <w:t xml:space="preserve">, akik a korábbi sikertelen csődeljárást </w:t>
      </w:r>
      <w:r w:rsidR="008358E0">
        <w:rPr>
          <w:rFonts w:asciiTheme="minorHAnsi" w:hAnsiTheme="minorHAnsi"/>
        </w:rPr>
        <w:t xml:space="preserve">vagyonfelügyelőként </w:t>
      </w:r>
      <w:r w:rsidRPr="003249D9">
        <w:rPr>
          <w:rFonts w:asciiTheme="minorHAnsi" w:hAnsiTheme="minorHAnsi"/>
        </w:rPr>
        <w:t>irányította.</w:t>
      </w:r>
    </w:p>
    <w:p w:rsidR="00BF6ACB" w:rsidRPr="003249D9" w:rsidRDefault="00AB7CFF" w:rsidP="00BF6ACB">
      <w:pPr>
        <w:pStyle w:val="TASTextheading3"/>
        <w:rPr>
          <w:rFonts w:asciiTheme="minorHAnsi" w:hAnsiTheme="minorHAnsi"/>
        </w:rPr>
      </w:pPr>
      <w:r w:rsidRPr="003249D9">
        <w:rPr>
          <w:rFonts w:asciiTheme="minorHAnsi" w:hAnsiTheme="minorHAnsi"/>
        </w:rPr>
        <w:t xml:space="preserve">7.1.5. A felszámoló díjazása, a felszámolási költségek </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kérdések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felszámoló díjazásával kapcsolatos konfliktusok:</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lastRenderedPageBreak/>
        <w:t>A felszámolói díjazást több érintett csoport is hevesen bírálja. A felszámolók úgy vélik, hogy díjazásuk arányban áll az általuk elvégzett munkával, különösen azokban az esetekben, amikor nem kapnak megfelelő dokumentációt az adóstól. A hitelezők véleménye viszont ezzel szöges ellentétben áll. Megjegyezzük, hogy mivel a díj egy fix százalékos mértéke a befolyt összegeknek, erősen függ a felszámolási vagyon értékétől és a munkaterheléstől.</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felszámoló díjazásával kapcsolatos aggályok összefügghetnek a hitelezőknek azzal a tapasztalatával, hogy a felszámolási eljárás lebonyolítása nem volt átlátható, és a hitelezők nem kaptak megfelelő tájékoztatást, melynek eredményeképpen a hitelezők kevesebb információt kaptak a felszámoló tevékenységéről az adott esetben.</w:t>
      </w:r>
      <w:r w:rsidRPr="003249D9">
        <w:rPr>
          <w:rStyle w:val="FootnoteReference"/>
          <w:rFonts w:asciiTheme="minorHAnsi" w:hAnsiTheme="minorHAnsi"/>
        </w:rPr>
        <w:footnoteReference w:id="16"/>
      </w:r>
      <w:r w:rsidR="00405471">
        <w:rPr>
          <w:rFonts w:asciiTheme="minorHAnsi" w:hAnsiTheme="minorHAnsi"/>
        </w:rPr>
        <w:t xml:space="preserve"> </w:t>
      </w:r>
      <w:r w:rsidRPr="003249D9">
        <w:rPr>
          <w:rFonts w:asciiTheme="minorHAnsi" w:hAnsiTheme="minorHAnsi"/>
        </w:rPr>
        <w:t>Minden érintett fél egyetért abban, hogy a fenti, a díjakkal kapcsolatos kétértelműségeket tisztázni kell.</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felszámolók jogállásával kapcsolatos, félreértelmezhető jogszabályi keretrendszer és gyakorlat az egyik oka a felszámolók-vagyonfelügyelők díjazásával kapcsolatos konfliktusoknak.</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gyakorlatban arról is viták folynak, ki fizesse azoknak a szakértőknek (jog</w:t>
      </w:r>
      <w:r w:rsidR="00747BD6">
        <w:rPr>
          <w:rFonts w:asciiTheme="minorHAnsi" w:hAnsiTheme="minorHAnsi"/>
        </w:rPr>
        <w:t xml:space="preserve">i </w:t>
      </w:r>
      <w:r w:rsidRPr="003249D9">
        <w:rPr>
          <w:rFonts w:asciiTheme="minorHAnsi" w:hAnsiTheme="minorHAnsi"/>
        </w:rPr>
        <w:t>tanácsadók, közgazdászok, könyvelők) a díjazását, akik a felszámoló munkáját segítik. Konkrétabban arról folyik a vita, hogy ezeket a szakértők díjakat a felszámoló díjából fedezzék, vagy pedig be kell őket sorolni a felszámolási költségek közé, amelyeket az adós vagyonának értékesítéséből finanszíroznak.</w:t>
      </w:r>
    </w:p>
    <w:p w:rsidR="00BF6ACB" w:rsidRPr="003249D9" w:rsidRDefault="00AB7CFF" w:rsidP="00BF6ACB">
      <w:pPr>
        <w:pStyle w:val="TASTextheading3"/>
        <w:rPr>
          <w:rFonts w:asciiTheme="minorHAnsi" w:hAnsiTheme="minorHAnsi"/>
        </w:rPr>
      </w:pPr>
      <w:r w:rsidRPr="003249D9">
        <w:rPr>
          <w:rFonts w:asciiTheme="minorHAnsi" w:hAnsiTheme="minorHAnsi"/>
        </w:rPr>
        <w:t>Lehetséges megoldások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 </w:t>
      </w:r>
      <w:r w:rsidR="00747BD6">
        <w:rPr>
          <w:rFonts w:asciiTheme="minorHAnsi" w:hAnsiTheme="minorHAnsi"/>
        </w:rPr>
        <w:t>felszámolók</w:t>
      </w:r>
      <w:r w:rsidR="00747BD6" w:rsidRPr="003249D9">
        <w:rPr>
          <w:rFonts w:asciiTheme="minorHAnsi" w:hAnsiTheme="minorHAnsi"/>
        </w:rPr>
        <w:t xml:space="preserve"> </w:t>
      </w:r>
      <w:r w:rsidRPr="003249D9">
        <w:rPr>
          <w:rFonts w:asciiTheme="minorHAnsi" w:hAnsiTheme="minorHAnsi"/>
        </w:rPr>
        <w:t>díjazási rendszerét felül kellene vizsgálni az elérhető legjobb gyakorlatoknak megfelelően illetve azért, hogy biztosítsa a megfelelő teljesítményösztönzőket.</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Ha már tisztázták a jogszabályi keretrendszerben a jogállást, a képviselendő érdekeket és a gyakorlatot, azt is meg kell egyértelműen határozni, hogyan osszák meg a felszámolói díjat a magyar </w:t>
      </w:r>
      <w:proofErr w:type="gramStart"/>
      <w:r w:rsidRPr="003249D9">
        <w:rPr>
          <w:rFonts w:asciiTheme="minorHAnsi" w:hAnsiTheme="minorHAnsi"/>
        </w:rPr>
        <w:t>állam</w:t>
      </w:r>
      <w:proofErr w:type="gramEnd"/>
      <w:r w:rsidRPr="003249D9">
        <w:rPr>
          <w:rFonts w:asciiTheme="minorHAnsi" w:hAnsiTheme="minorHAnsi"/>
        </w:rPr>
        <w:t xml:space="preserve"> mint kinevező szervezet, a hitelezők - akiknek az érdekeit a felszámoló elsődlegesen képviseli - valamint maga a felszámoló és az adós között.</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kérdések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Elszámolási problémák a felszámolási költségekkel kapcsolatosan:</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hitelezők azt állítják, hogy a felszámolók megpróbálnak a felszámolási költségek közé számos oda nem való tételt is becsempészni, mivel ezek elsőbbséget élveznek a többi követeléssel szemben, leszámítva a biztosított hitelezők követeléseit. A felszámolók viszont azt állítják, hogy ők is szeretnék elkerülni az ezzel kapcsolatos hosszadalmas elszámolási vitákat.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kihívás abban áll, hogy a felszámolási költségeket és azok viselőit nem határozták meg pontosan és egyértelműen. Erre gyakorlati példaként említhetők a környezetszennyezés enyhítésének költségei. Ha egy ingatlant környezetkárosodás sújt, a felszámolónak gondoskodnia kell annak elhárításáról, csak utána értékesítheti az ingatlant. Ennek elmaradása esetén az értékesítés sokkal nehezebb lesz, vagy akár meg is hiúsulhat. Jelenleg a legtöbb esetben a felszámolónak meg kell előlegeznie a kármentesítés költségeit, ha erre nincs más forrás.</w:t>
      </w:r>
    </w:p>
    <w:p w:rsidR="00BF6ACB" w:rsidRPr="003249D9" w:rsidRDefault="00AB7CFF" w:rsidP="00BF6ACB">
      <w:pPr>
        <w:pStyle w:val="TASTextheading3"/>
        <w:rPr>
          <w:rFonts w:asciiTheme="minorHAnsi" w:hAnsiTheme="minorHAnsi"/>
        </w:rPr>
      </w:pPr>
      <w:r w:rsidRPr="003249D9">
        <w:rPr>
          <w:rFonts w:asciiTheme="minorHAnsi" w:hAnsiTheme="minorHAnsi"/>
        </w:rPr>
        <w:t>Lehetséges megoldások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Szélesebb körű tárgyalásokra lenne szükség az érintettek és az állam között, hogy egy világosabb és részletesebb szabályozást lehessen kidolgozni a felszámolási költségekre és ezek viselésére vonatkozóan.</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Meg lehetne fontolni egy fix összegű díjazás bevezetését a felszámolási költségekre, és/vagy egy nemzeti alap létrehozását, amelyből fedeznék ezeket a költségeket.</w:t>
      </w:r>
    </w:p>
    <w:p w:rsidR="00BF6ACB" w:rsidRPr="003249D9" w:rsidRDefault="00AB7CFF" w:rsidP="00BF6ACB">
      <w:pPr>
        <w:pStyle w:val="TASTextheading3"/>
        <w:rPr>
          <w:rFonts w:asciiTheme="minorHAnsi" w:hAnsiTheme="minorHAnsi"/>
        </w:rPr>
      </w:pPr>
      <w:r w:rsidRPr="003249D9">
        <w:rPr>
          <w:rFonts w:asciiTheme="minorHAnsi" w:hAnsiTheme="minorHAnsi"/>
        </w:rPr>
        <w:t xml:space="preserve">7.1.6. A bíróságok szerepe </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kérdések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felszámolási kérelmek formális felülvizsgálata:</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Az adós elkerülheti a felszámolást, ha igazolja a bíróság felé, hogy a szóban forgó követelést érdemben és megfelelő időben vitatta (lásd a Jogi háttér fejezet 5.1. pontját (</w:t>
      </w:r>
      <w:r w:rsidRPr="003249D9">
        <w:rPr>
          <w:rFonts w:asciiTheme="minorHAnsi" w:hAnsiTheme="minorHAnsi"/>
          <w:i/>
        </w:rPr>
        <w:t>A felszámolási eljárás megindítása és időtartama</w:t>
      </w:r>
      <w:r w:rsidRPr="003249D9">
        <w:rPr>
          <w:rFonts w:asciiTheme="minorHAnsi" w:hAnsiTheme="minorHAnsi"/>
        </w:rPr>
        <w:t>). Bár korábban a Csődtörvény még azt a feltételt sem írta elő, hogy a vitatásnak érdeminek kell lennie, a hitelezők azon a véleményen vannak, hogy továbbra is túl könnyen el tudja az adós kerülni a felszámolást a fentiek alapján.</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lastRenderedPageBreak/>
        <w:t xml:space="preserve">A felszámolásról döntő bíróknak csak egy formális beadványt kell mérlegelniük, tehát „valódi” felszámolási kritériumokat nem is kell figyelembe venni. Ha úgy vélik, hogy az adósok </w:t>
      </w:r>
      <w:r w:rsidR="00CB1880">
        <w:rPr>
          <w:rFonts w:asciiTheme="minorHAnsi" w:hAnsiTheme="minorHAnsi"/>
        </w:rPr>
        <w:t>vitató nyilatkozata</w:t>
      </w:r>
      <w:r w:rsidR="00CB1880" w:rsidRPr="003249D9">
        <w:rPr>
          <w:rFonts w:asciiTheme="minorHAnsi" w:hAnsiTheme="minorHAnsi"/>
        </w:rPr>
        <w:t xml:space="preserve"> </w:t>
      </w:r>
      <w:r w:rsidRPr="003249D9">
        <w:rPr>
          <w:rFonts w:asciiTheme="minorHAnsi" w:hAnsiTheme="minorHAnsi"/>
        </w:rPr>
        <w:t>megfelel a Csődtörvényben foglaltaknak, elutasítják a felszámolási kérelmet, a jogvit</w:t>
      </w:r>
      <w:r w:rsidR="00340379">
        <w:rPr>
          <w:rFonts w:asciiTheme="minorHAnsi" w:hAnsiTheme="minorHAnsi"/>
        </w:rPr>
        <w:t>át</w:t>
      </w:r>
      <w:r w:rsidRPr="003249D9">
        <w:rPr>
          <w:rFonts w:asciiTheme="minorHAnsi" w:hAnsiTheme="minorHAnsi"/>
        </w:rPr>
        <w:t xml:space="preserve"> pedig per</w:t>
      </w:r>
      <w:r w:rsidR="00340379">
        <w:rPr>
          <w:rFonts w:asciiTheme="minorHAnsi" w:hAnsiTheme="minorHAnsi"/>
        </w:rPr>
        <w:t>es útra irányítják</w:t>
      </w:r>
      <w:r w:rsidRPr="003249D9">
        <w:rPr>
          <w:rFonts w:asciiTheme="minorHAnsi" w:hAnsiTheme="minorHAnsi"/>
        </w:rPr>
        <w:t xml:space="preserve">. </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fenti probléma minden bizonnyal onnan ered, hogy a felszámolási bíróknak nincs felhatalmazásuk és kapacitásuk arra, hogy érdemben felülvizsgálják a jogvita polgári jogi hátterét. Ugyanakkor a hitelezők joggal várhatják el, hogy a felszámolási bírók legalább azokat az eseteket „szűrjék ki”, amikor az adósok a beadványt fiktív indokokkal vitatják.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Kapacitáshiány:</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felszámolási bírók létszáma aránytalanul alacsony az ügytömeghez képest, különösen Budapesten, ahol a legtöbb adós található.</w:t>
      </w:r>
      <w:r w:rsidRPr="003249D9">
        <w:rPr>
          <w:rStyle w:val="FootnoteReference"/>
          <w:rFonts w:asciiTheme="minorHAnsi" w:hAnsiTheme="minorHAnsi"/>
        </w:rPr>
        <w:footnoteReference w:id="17"/>
      </w:r>
      <w:r w:rsidR="00405471">
        <w:rPr>
          <w:rFonts w:asciiTheme="minorHAnsi" w:hAnsiTheme="minorHAnsi"/>
        </w:rPr>
        <w:t xml:space="preserve"> </w:t>
      </w:r>
      <w:r w:rsidRPr="003249D9">
        <w:rPr>
          <w:rFonts w:asciiTheme="minorHAnsi" w:hAnsiTheme="minorHAnsi"/>
        </w:rPr>
        <w:t>Budapesten egy felszámolási bíróhoz évente nagyjából 3-400 ügyet rendelnek ki. Ennek eredményeképpen elhúzódnak az eljárások, és a bíróknak nem marad kapacitásuk az ügyek megfelelő kezelésére. A bankok tapasztalatai szerint túl sok felszámolási eljárás húzódik el négy évig vagy annál is tovább.</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fentiek fényében a bírók nincsenek abban a helyzetben, hogy megfelelő módon át tudják tekinteni a felszámolási eljárásokat, </w:t>
      </w:r>
      <w:proofErr w:type="gramStart"/>
      <w:r w:rsidRPr="003249D9">
        <w:rPr>
          <w:rFonts w:asciiTheme="minorHAnsi" w:hAnsiTheme="minorHAnsi"/>
        </w:rPr>
        <w:t>vagy</w:t>
      </w:r>
      <w:proofErr w:type="gramEnd"/>
      <w:r w:rsidRPr="003249D9">
        <w:rPr>
          <w:rFonts w:asciiTheme="minorHAnsi" w:hAnsiTheme="minorHAnsi"/>
        </w:rPr>
        <w:t xml:space="preserve"> hogy hatékony „napi szintű” ellenőrzést tudjanak gyakorolni a felszámolók tevékenysége felett.</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határidőkkel kapcsolatos következetlenségek:</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hitelezők arról számolnak be, hogy bár a Csődtörvény eljárási határidőket állapít meg mindkét félre és a bíróságra, a bírók jellemzően nem tartják be a bíróság kötelező határidőit.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Ha viszont két év eltelt a felszámolási eljárás megkezdése óta (lásd 5.1 pont (</w:t>
      </w:r>
      <w:r w:rsidRPr="003249D9">
        <w:rPr>
          <w:rFonts w:asciiTheme="minorHAnsi" w:hAnsiTheme="minorHAnsi"/>
          <w:i/>
        </w:rPr>
        <w:t>A felszámolási eljárás kezdete és időtartama</w:t>
      </w:r>
      <w:r w:rsidRPr="003249D9">
        <w:rPr>
          <w:rFonts w:asciiTheme="minorHAnsi" w:hAnsiTheme="minorHAnsi"/>
        </w:rPr>
        <w:t>) a Jogi háttérről szóló fejezetben), a formális megközelítést alkalmazó bírók hajlamosak gyorsan lezárni a felszámolási eljárást anélkül, hogy figyelembe vennék a hitelezők és a felszámoló közötti lezáratlan elszámolási vitákat.</w:t>
      </w:r>
    </w:p>
    <w:p w:rsidR="00BF6ACB" w:rsidRPr="003249D9" w:rsidRDefault="00AB7CFF" w:rsidP="00BF6ACB">
      <w:pPr>
        <w:pStyle w:val="TASTextheading3"/>
        <w:rPr>
          <w:rFonts w:asciiTheme="minorHAnsi" w:hAnsiTheme="minorHAnsi"/>
        </w:rPr>
      </w:pPr>
      <w:r w:rsidRPr="003249D9">
        <w:rPr>
          <w:rFonts w:asciiTheme="minorHAnsi" w:hAnsiTheme="minorHAnsi"/>
        </w:rPr>
        <w:t>Lehetséges megoldások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Szakosodott fizetésképtelenségi bíróságok létrehozása (lásd fent) révén csökkenteni lehetni a bírók terhelését, így maradna kapacitásuk arra, hogy megvizsgálják a beadványok jogi hátterét, és „kiszűrjék” azokat az eseteket, amikor az adósok fiktív indokokkal vitatják a követeléseket.</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Megfontolandó a felszámolókra vonatkozó szabályozás erősítése, pl. a Felszámolók és Vagyonfelügyelők Országos Egyesületének kamarává történő átalakításával (lásd a 7.1.4 pontot (</w:t>
      </w:r>
      <w:r w:rsidRPr="003249D9">
        <w:rPr>
          <w:rFonts w:asciiTheme="minorHAnsi" w:hAnsiTheme="minorHAnsi"/>
          <w:i/>
        </w:rPr>
        <w:t>A felszámolók szerepe</w:t>
      </w:r>
      <w:r w:rsidRPr="003249D9">
        <w:rPr>
          <w:rFonts w:asciiTheme="minorHAnsi" w:hAnsiTheme="minorHAnsi"/>
        </w:rPr>
        <w:t>)</w:t>
      </w:r>
      <w:r w:rsidR="00405471">
        <w:rPr>
          <w:rFonts w:asciiTheme="minorHAnsi" w:hAnsiTheme="minorHAnsi"/>
        </w:rPr>
        <w:t xml:space="preserve"> </w:t>
      </w:r>
      <w:r w:rsidRPr="003249D9">
        <w:rPr>
          <w:rFonts w:asciiTheme="minorHAnsi" w:hAnsiTheme="minorHAnsi"/>
        </w:rPr>
        <w:t>vagy a szabályozás más módon történő erősítése valamely kormányzati szerven keresztül.</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kérdések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Vonakodnak a felszámolók elleni döntéseket hozni:</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gyakorlatban a kifogásolási eljárás láthatóan nem biztosít elégséges védelmet a hitelezők számára.</w:t>
      </w:r>
      <w:r w:rsidR="00405471">
        <w:rPr>
          <w:rFonts w:asciiTheme="minorHAnsi" w:hAnsiTheme="minorHAnsi"/>
        </w:rPr>
        <w:t xml:space="preserve"> </w:t>
      </w:r>
      <w:r w:rsidRPr="003249D9">
        <w:rPr>
          <w:rFonts w:asciiTheme="minorHAnsi" w:hAnsiTheme="minorHAnsi"/>
        </w:rPr>
        <w:t>Először is, a kifogás benyújtására rendelkezésre álló nyolc nap viszonylag rövid idő, amelyet a bíróságok szigorúan be is tartatnak. Ugyanakkor a bíróság ritkán tartja be a saját határidejét, amely a kifogás gyorsított eljárásban történő elbírálására vonatkozik.</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Másodszor, a fenti késedelem oka többnyire az, hogy a bírók felszólítják az adott hitelezőt, jelölje meg a Csődtörvénynek azt a konkrét rendelkezését, amelyeket a felszámoló megsértett. Ugyanakkor, mivel a felszámolók kötelezettségeit nem szabályozzák pontosan kidolgozott vagy részletes rendelkezések a vonatkozó törvényben, a hitelező ennek a felszólításnak általában nem tud eleget tenni.</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Végezetül, több esetben a bírók azzal utasították el a kifogást, hogy a hitelező beperelheti a felszámolót kártérítésért. Ez azonban nem valós alternatíva, mivel külön eljárást igényel egy általános bíróság előtt, az általános eljárási határidők mellett.</w:t>
      </w:r>
    </w:p>
    <w:p w:rsidR="00BF6ACB" w:rsidRPr="003249D9" w:rsidRDefault="00AB7CFF" w:rsidP="00BF6ACB">
      <w:pPr>
        <w:pStyle w:val="TASTextheading3"/>
        <w:rPr>
          <w:rFonts w:asciiTheme="minorHAnsi" w:hAnsiTheme="minorHAnsi"/>
        </w:rPr>
      </w:pPr>
      <w:r w:rsidRPr="003249D9">
        <w:rPr>
          <w:rFonts w:asciiTheme="minorHAnsi" w:hAnsiTheme="minorHAnsi"/>
        </w:rPr>
        <w:t>Lehetséges megoldások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Szakosodott bíróságok létrehozása (lásd a fentieket) révén a bírók jobban be tudnák tartani a saját határidőiket, és „napi szinten” tudnák ellenőrizni a felszámoló tevékenységét.</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 felszámolók-vagyonfelügyelők kötelezettségeinek részletesebb szabályozása révén a hitelezők jobb áttekintést kapnának az eljárás menetéről (vagyis arról, hogy a felszámolónak pontosan milyen lépéseket kell tennie a megadott időkereten </w:t>
      </w:r>
      <w:r w:rsidRPr="003249D9">
        <w:rPr>
          <w:rFonts w:asciiTheme="minorHAnsi" w:hAnsiTheme="minorHAnsi"/>
        </w:rPr>
        <w:lastRenderedPageBreak/>
        <w:t>belül). Másodszor, a hitelezők úgy tudnának panaszt tenni a felszámoló ellen, hogy hivatkoznának egy konkrét jogszabályra, amelyet a felszámoló állításuk szerint megsértett.</w:t>
      </w:r>
    </w:p>
    <w:p w:rsidR="00BF6ACB" w:rsidRPr="003249D9" w:rsidRDefault="00AB7CFF" w:rsidP="00BF6ACB">
      <w:pPr>
        <w:pStyle w:val="TASTextheading3"/>
        <w:rPr>
          <w:rFonts w:asciiTheme="minorHAnsi" w:hAnsiTheme="minorHAnsi"/>
        </w:rPr>
      </w:pPr>
      <w:r w:rsidRPr="003249D9">
        <w:rPr>
          <w:rFonts w:asciiTheme="minorHAnsi" w:hAnsiTheme="minorHAnsi"/>
        </w:rPr>
        <w:t>7.1.7. Szinte esélytelen</w:t>
      </w:r>
      <w:r w:rsidR="00340379">
        <w:rPr>
          <w:rFonts w:asciiTheme="minorHAnsi" w:hAnsiTheme="minorHAnsi"/>
        </w:rPr>
        <w:t xml:space="preserve"> az egyezségkötés</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kérdések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Bizonyos hitelezők rugalmatlan hozzáállása:</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közvetlen állami </w:t>
      </w:r>
      <w:r w:rsidR="00E70C03">
        <w:rPr>
          <w:rFonts w:asciiTheme="minorHAnsi" w:hAnsiTheme="minorHAnsi"/>
        </w:rPr>
        <w:t>támogatás</w:t>
      </w:r>
      <w:r w:rsidR="00E70C03" w:rsidRPr="003249D9">
        <w:rPr>
          <w:rFonts w:asciiTheme="minorHAnsi" w:hAnsiTheme="minorHAnsi"/>
        </w:rPr>
        <w:t xml:space="preserve"> </w:t>
      </w:r>
      <w:r w:rsidRPr="003249D9">
        <w:rPr>
          <w:rFonts w:asciiTheme="minorHAnsi" w:hAnsiTheme="minorHAnsi"/>
        </w:rPr>
        <w:t xml:space="preserve">tilalma miatt az állami hatóságok (jellemzően a Nemzeti Adóhatóság) nincsenek abban a helyzetben, hogy bármilyen </w:t>
      </w:r>
      <w:r w:rsidR="00E70C03">
        <w:rPr>
          <w:rFonts w:asciiTheme="minorHAnsi" w:hAnsiTheme="minorHAnsi"/>
        </w:rPr>
        <w:t>csődegyezséget</w:t>
      </w:r>
      <w:r w:rsidRPr="003249D9">
        <w:rPr>
          <w:rFonts w:asciiTheme="minorHAnsi" w:hAnsiTheme="minorHAnsi"/>
        </w:rPr>
        <w:t xml:space="preserve"> elfogadjanak, kivéve</w:t>
      </w:r>
      <w:r w:rsidR="00E70C03">
        <w:rPr>
          <w:rFonts w:asciiTheme="minorHAnsi" w:hAnsiTheme="minorHAnsi"/>
        </w:rPr>
        <w:t>,</w:t>
      </w:r>
      <w:r w:rsidRPr="003249D9">
        <w:rPr>
          <w:rFonts w:asciiTheme="minorHAnsi" w:hAnsiTheme="minorHAnsi"/>
        </w:rPr>
        <w:t xml:space="preserve"> ha az a követeléseik 100%-os megtérülését mondja ki. Ez általában nem merül fel problémaként a csődeljárásoknál, mivel az adóhatóság az összes többi nem biztosított hitelezővel együtt szavaz egyetlen osztályként, és többnyire nem tudja befolyásolni a nem-biztosított hitelezői osztály szavazásának eredményét. </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felszámolási eljárás során a követelések besorolása eltérő a csődeljárásétól. Általában a vonatkozó csoportnak nincs más tagja, mint az adóhatóság, ezért az adóhatóság követelése gyakorlatilag egy külön csoportot jelent. A</w:t>
      </w:r>
      <w:r w:rsidR="00E70C03">
        <w:rPr>
          <w:rFonts w:asciiTheme="minorHAnsi" w:hAnsiTheme="minorHAnsi"/>
        </w:rPr>
        <w:t>z egyezségi javaslatot</w:t>
      </w:r>
      <w:r w:rsidRPr="003249D9">
        <w:rPr>
          <w:rFonts w:asciiTheme="minorHAnsi" w:hAnsiTheme="minorHAnsi"/>
        </w:rPr>
        <w:t xml:space="preserve"> a hitelezők többségének kell támogatnia minden hitelezői csoportban (lásd 5.3. pont (</w:t>
      </w:r>
      <w:r w:rsidRPr="003249D9">
        <w:rPr>
          <w:rFonts w:asciiTheme="minorHAnsi" w:hAnsiTheme="minorHAnsi"/>
          <w:i/>
        </w:rPr>
        <w:t>A hitelezők nyilvántartása</w:t>
      </w:r>
      <w:r w:rsidRPr="003249D9">
        <w:rPr>
          <w:rFonts w:asciiTheme="minorHAnsi" w:hAnsiTheme="minorHAnsi"/>
        </w:rPr>
        <w:t>) és 5.4. pont (</w:t>
      </w:r>
      <w:r w:rsidRPr="003249D9">
        <w:rPr>
          <w:rFonts w:asciiTheme="minorHAnsi" w:hAnsiTheme="minorHAnsi"/>
          <w:i/>
        </w:rPr>
        <w:t>A</w:t>
      </w:r>
      <w:r w:rsidR="00E70C03">
        <w:rPr>
          <w:rFonts w:asciiTheme="minorHAnsi" w:hAnsiTheme="minorHAnsi"/>
          <w:i/>
        </w:rPr>
        <w:t>z egyezségi</w:t>
      </w:r>
      <w:r w:rsidRPr="003249D9">
        <w:rPr>
          <w:rFonts w:asciiTheme="minorHAnsi" w:hAnsiTheme="minorHAnsi"/>
          <w:i/>
        </w:rPr>
        <w:t xml:space="preserve"> tárgyalások</w:t>
      </w:r>
      <w:r w:rsidRPr="003249D9">
        <w:rPr>
          <w:rFonts w:asciiTheme="minorHAnsi" w:hAnsiTheme="minorHAnsi"/>
        </w:rPr>
        <w:t>) a Jogi háttérről szóló fejezetben). Így az adóhatóságnak gyakorlatilag „vétójoga” van a</w:t>
      </w:r>
      <w:r w:rsidR="00E70C03">
        <w:rPr>
          <w:rFonts w:asciiTheme="minorHAnsi" w:hAnsiTheme="minorHAnsi"/>
        </w:rPr>
        <w:t>z egyezségi javaslat</w:t>
      </w:r>
      <w:r w:rsidRPr="003249D9">
        <w:rPr>
          <w:rFonts w:asciiTheme="minorHAnsi" w:hAnsiTheme="minorHAnsi"/>
        </w:rPr>
        <w:t xml:space="preserve"> megszavazásakor.</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Nincs kilátás az adós fennmaradására:</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Feltételezhető, hogy ha nem lenne tilos a közvetlen állami </w:t>
      </w:r>
      <w:r w:rsidR="00474DB0">
        <w:rPr>
          <w:rFonts w:asciiTheme="minorHAnsi" w:hAnsiTheme="minorHAnsi"/>
        </w:rPr>
        <w:t>támogatás</w:t>
      </w:r>
      <w:r w:rsidRPr="003249D9">
        <w:rPr>
          <w:rFonts w:asciiTheme="minorHAnsi" w:hAnsiTheme="minorHAnsi"/>
        </w:rPr>
        <w:t>, az állami hatóságok akkor sem feltétlenül lennének érdekeltek az adós fennmaradásában.</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Mivel a legtöbb esetben az adósoknak a felszámolási eljárás megkezdésekor már alig maradt vagyonuk, rendkívül ritkák a „</w:t>
      </w:r>
      <w:r w:rsidR="00474DB0">
        <w:rPr>
          <w:rFonts w:asciiTheme="minorHAnsi" w:hAnsiTheme="minorHAnsi"/>
        </w:rPr>
        <w:t>működő üzemként</w:t>
      </w:r>
      <w:r w:rsidRPr="003249D9">
        <w:rPr>
          <w:rFonts w:asciiTheme="minorHAnsi" w:hAnsiTheme="minorHAnsi"/>
        </w:rPr>
        <w:t xml:space="preserve">” </w:t>
      </w:r>
      <w:r w:rsidR="00474DB0">
        <w:rPr>
          <w:rFonts w:asciiTheme="minorHAnsi" w:hAnsiTheme="minorHAnsi"/>
        </w:rPr>
        <w:t>történő</w:t>
      </w:r>
      <w:r w:rsidR="00474DB0" w:rsidRPr="003249D9">
        <w:rPr>
          <w:rFonts w:asciiTheme="minorHAnsi" w:hAnsiTheme="minorHAnsi"/>
        </w:rPr>
        <w:t xml:space="preserve"> </w:t>
      </w:r>
      <w:r w:rsidRPr="003249D9">
        <w:rPr>
          <w:rFonts w:asciiTheme="minorHAnsi" w:hAnsiTheme="minorHAnsi"/>
        </w:rPr>
        <w:t>értékesítések. A jelenlegi piaci helyzetben kevés olyan befektető van, aki érdeklődne az iránt a lehetőség iránt, hogy felszámolás alatt álló cégeket vásároljon fel és fenntartsa azok működését.</w:t>
      </w:r>
    </w:p>
    <w:p w:rsidR="00BF6ACB" w:rsidRPr="003249D9" w:rsidRDefault="00AB7CFF" w:rsidP="00BF6ACB">
      <w:pPr>
        <w:pStyle w:val="TASTextheading3"/>
        <w:rPr>
          <w:rFonts w:asciiTheme="minorHAnsi" w:hAnsiTheme="minorHAnsi"/>
        </w:rPr>
      </w:pPr>
      <w:r w:rsidRPr="003249D9">
        <w:rPr>
          <w:rFonts w:asciiTheme="minorHAnsi" w:hAnsiTheme="minorHAnsi"/>
        </w:rPr>
        <w:t>Lehetséges megoldások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Szélesebb körű tárgyalásokra lenne szükség az érintettek és az állam között, hogy a fenti kérdésekre kidolgozhassanak egy elfogadható megoldást.</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Ha a csődeljárások a gyakorlatban hatékonyabban működnének, több vállalat tudná elkerülni a felszámolást és megőrizni a vagyonát. Ennek eredményeképpen csökkenne az „üres” cégek száma a felszámolási eljárásokban.</w:t>
      </w:r>
    </w:p>
    <w:p w:rsidR="00BF6ACB" w:rsidRPr="003249D9" w:rsidRDefault="00AB7CFF" w:rsidP="00BF6ACB">
      <w:pPr>
        <w:pStyle w:val="TASTextheading3"/>
        <w:rPr>
          <w:rFonts w:asciiTheme="minorHAnsi" w:hAnsiTheme="minorHAnsi"/>
        </w:rPr>
      </w:pPr>
      <w:r w:rsidRPr="003249D9">
        <w:rPr>
          <w:rFonts w:asciiTheme="minorHAnsi" w:hAnsiTheme="minorHAnsi"/>
        </w:rPr>
        <w:t>7.1.8. Nem hatékony rendelkezések az igazgatók és a részvényesek felelősségéről</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kérdések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Gyenge szankciók és bizonyítási problémák az igazgatók felelősségét illetően:</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teljes felszámolási eljárás hatékonyságát veszélyezteti, amikor az adós cég vezetője nem tesz eleget azon kötelezettségének, hogy átadja a dokumentációt a felszámolónak és minden tekintetben együttműködjön vele. Ebben az esetben a felszámoló nem tudja megfelelően felértékelni a cég vagontárgyait és az azokat terhelő kötelezettségeket, illetve nem tudja feltárni a fizetésképtelenséghez vezető okokat. A jelenlegi szankcióknak (a vezetőre kiszabható pénzbírság és a felelősség vélelme jövőbeni pereskedés során) nincs visszatartó erejük. </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jelenlegi jogi keretrendszer (lásd az 5.5. pontot (</w:t>
      </w:r>
      <w:r w:rsidRPr="003249D9">
        <w:rPr>
          <w:rFonts w:asciiTheme="minorHAnsi" w:hAnsiTheme="minorHAnsi"/>
          <w:i/>
        </w:rPr>
        <w:t>Az igazgatók kötelezettségei és felelőssége</w:t>
      </w:r>
      <w:r w:rsidRPr="003249D9">
        <w:rPr>
          <w:rFonts w:asciiTheme="minorHAnsi" w:hAnsiTheme="minorHAnsi"/>
        </w:rPr>
        <w:t>) a Jogi háttér című fejezetben) a gyakorlatban nem működik hatékonyan. Az eljárást kezdeményezheti a felszámoló vagy bármelyik hitelező, akiknek azonban alig vannak információi vagy dokumentumai a cégvezető cselekedeteiről vagy mulasztásairól a felszámolási eljárás megindítása előtt. Ezért csak rendkívül nehezen tudnak bizonyítékot szerezni minden olyan körülményről, amely a Csődtörvényben szerepel. Ha pedig mégis sikerrel járnak, a vállalkozás vezetőjét még mindig felmenthetik, amennyiben bizonyítani tudja, hogy tájékoztatta a tulajdonosokat a pénzügyi nehézségekről és kezdeményezte, hogy tegyék meg a szükséges intézkedéseket.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Ennek eredményeként a vállalkozás vezetőjének a felelősségét a bíróság kizárólag a legnyilvánvalóbb esetekben fogja megállapítani (például a cég pénzének elvonása a felszámolás megindítása után, kölcsön nyújtása egy kapcsolt félnek olyan helyzetben, amikor a társaság tartozásai már meghaladják vagyonának értékét, vagy a társaság összes pénzének felajánlása biztosítékként a vételárra adásvételi szerződés alapján, amikor a szerződés teljesítése már egyáltalán nem volt lehetséges).</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lastRenderedPageBreak/>
        <w:t>Homályos és tisztázatlan rendelkezések a tulajdonos felelősségére vonatkozóan:</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Nem tűnnek ésszerűnek azok a feltételek, amelyek a felelősséget szabályozzák </w:t>
      </w:r>
      <w:r w:rsidR="00474DB0">
        <w:rPr>
          <w:rFonts w:asciiTheme="minorHAnsi" w:hAnsiTheme="minorHAnsi"/>
        </w:rPr>
        <w:t>a vagyoni</w:t>
      </w:r>
      <w:r w:rsidR="00474DB0" w:rsidRPr="003249D9">
        <w:rPr>
          <w:rFonts w:asciiTheme="minorHAnsi" w:hAnsiTheme="minorHAnsi"/>
        </w:rPr>
        <w:t xml:space="preserve"> </w:t>
      </w:r>
      <w:r w:rsidRPr="003249D9">
        <w:rPr>
          <w:rFonts w:asciiTheme="minorHAnsi" w:hAnsiTheme="minorHAnsi"/>
        </w:rPr>
        <w:t xml:space="preserve">hányad </w:t>
      </w:r>
      <w:r w:rsidR="00474DB0">
        <w:rPr>
          <w:rFonts w:asciiTheme="minorHAnsi" w:hAnsiTheme="minorHAnsi"/>
        </w:rPr>
        <w:t>rosszhiszemű átruházása</w:t>
      </w:r>
      <w:r w:rsidRPr="003249D9">
        <w:rPr>
          <w:rFonts w:asciiTheme="minorHAnsi" w:hAnsiTheme="minorHAnsi"/>
        </w:rPr>
        <w:t xml:space="preserve"> esetén (lásd 5.6. pont (</w:t>
      </w:r>
      <w:r w:rsidRPr="003249D9">
        <w:rPr>
          <w:rFonts w:asciiTheme="minorHAnsi" w:hAnsiTheme="minorHAnsi"/>
          <w:i/>
        </w:rPr>
        <w:t>A tulajdonosok jogai és kötelezettségei</w:t>
      </w:r>
      <w:r w:rsidRPr="003249D9">
        <w:rPr>
          <w:rFonts w:asciiTheme="minorHAnsi" w:hAnsiTheme="minorHAnsi"/>
        </w:rPr>
        <w:t>) a Jogi háttér c. fejezetben). A felelősséget általában csak akkor állapítják meg, ha az adós felhalmozódott adóssága meghaladja jegyzett tőkéjének 50%-át.</w:t>
      </w:r>
      <w:r w:rsidR="00405471">
        <w:rPr>
          <w:rFonts w:asciiTheme="minorHAnsi" w:hAnsiTheme="minorHAnsi"/>
        </w:rPr>
        <w:t xml:space="preserve"> </w:t>
      </w:r>
      <w:r w:rsidRPr="003249D9">
        <w:rPr>
          <w:rFonts w:asciiTheme="minorHAnsi" w:hAnsiTheme="minorHAnsi"/>
        </w:rPr>
        <w:t>Ugyanakkor egy gazdasági társaság pénzügyi helyzetét nem a jegyzett tőke, hanem a saját tőke alapján lehet megbízhatóan megítélni. Egy további előfeltétel, hogy a fentieket a közbenső mérlegből állapítsák meg. Ezt a dokumentumot a felszámolás során kell elkészíteni, ezért már tartalmazza azokat a fejleményeket, amelyekre a felszámoló van hatással, nem pedig az előző tulajdonos. A korábban érvényben volt rendelkezések azt írták elő, hogy a saját tőkét kell alapként figyelembe venni, és a vizsgálat során a felszámolás kezdőnapját kell alapul venni.</w:t>
      </w:r>
      <w:r w:rsidR="00405471">
        <w:rPr>
          <w:rFonts w:asciiTheme="minorHAnsi" w:hAnsiTheme="minorHAnsi"/>
        </w:rPr>
        <w:t xml:space="preserve"> </w:t>
      </w:r>
      <w:r w:rsidRPr="003249D9">
        <w:rPr>
          <w:rFonts w:asciiTheme="minorHAnsi" w:hAnsiTheme="minorHAnsi"/>
        </w:rPr>
        <w:t>Nem világos, hogy ezeket a korábbi rendelkezéseket miért változtatták meg 2012-ben.</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„tartósan hátrányos üzletpolitika” köre (lásd 5.6. pont (</w:t>
      </w:r>
      <w:r w:rsidRPr="003249D9">
        <w:rPr>
          <w:rFonts w:asciiTheme="minorHAnsi" w:hAnsiTheme="minorHAnsi"/>
          <w:i/>
        </w:rPr>
        <w:t>A tulajdonosok jogai és kötelezettségei</w:t>
      </w:r>
      <w:r w:rsidRPr="003249D9">
        <w:rPr>
          <w:rFonts w:asciiTheme="minorHAnsi" w:hAnsiTheme="minorHAnsi"/>
        </w:rPr>
        <w:t>) a Jogi háttér c. fejezetben) nincsen egyértelműen meghatározva a Csődtörvényben. A bíróságok általában úgy értelmezik a „tartósan hátrányos üzletpolitikát”, mint olyan hosszú távú stratégiai tervet az adott tulajdon által irányított vállalatnál, amely sérti a vállalat érdekeit. Ezt azonban meglehetősen nehéz a gyakorlatban is megállapítani, mivel egy alapos ellenőrzés a bíróságoktól nem csak jogi, hanem gazdasági és vállalatirányítási szakértelmet is igényelne.</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fentiek fényében, nem tagadva a tulajdonosi felelősség fontosságát, a hitelezők csak ritkán indítják el a fenti eljárásokat, a tisztázatlan feltételek és a sikeres bizonyítás alacsony valószínűsége miatt.</w:t>
      </w:r>
    </w:p>
    <w:p w:rsidR="00BF6ACB" w:rsidRPr="003249D9" w:rsidRDefault="00AB7CFF" w:rsidP="00BF6ACB">
      <w:pPr>
        <w:pStyle w:val="TASTextheading3"/>
        <w:rPr>
          <w:rFonts w:asciiTheme="minorHAnsi" w:hAnsiTheme="minorHAnsi"/>
        </w:rPr>
      </w:pPr>
      <w:r w:rsidRPr="003249D9">
        <w:rPr>
          <w:rFonts w:asciiTheme="minorHAnsi" w:hAnsiTheme="minorHAnsi"/>
        </w:rPr>
        <w:t>Lehetséges megoldások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jogszabályi keretrendszerben tovább kellene finomítani a tulajdonosok és az igazgatók felelősségét, az érintettektől kapott visszajelzések alapján.</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bizonyítási nehézségeket meg lehetne oldani, ha:</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megerősítenék a felszámolók hatáskörét olyan módon, hogy tájékoztatást kapnának az adósnak a fizetésképtelenség bekövetkezése előtti tevékenységéről (lásd a jelen fejezet </w:t>
      </w:r>
      <w:proofErr w:type="gramStart"/>
      <w:r w:rsidRPr="003249D9">
        <w:rPr>
          <w:rFonts w:asciiTheme="minorHAnsi" w:hAnsiTheme="minorHAnsi"/>
          <w:i/>
        </w:rPr>
        <w:t>A</w:t>
      </w:r>
      <w:proofErr w:type="gramEnd"/>
      <w:r w:rsidRPr="003249D9">
        <w:rPr>
          <w:rFonts w:asciiTheme="minorHAnsi" w:hAnsiTheme="minorHAnsi"/>
          <w:i/>
        </w:rPr>
        <w:t xml:space="preserve"> felszámolók szerepe</w:t>
      </w:r>
      <w:r w:rsidRPr="003249D9">
        <w:rPr>
          <w:rFonts w:asciiTheme="minorHAnsi" w:hAnsiTheme="minorHAnsi"/>
        </w:rPr>
        <w:t xml:space="preserve"> című pontját); illetve</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megszigorítanák a felszámolónak azt a kötelezettségét is, hogy ezeket az információkat továbbadja a hitelezőknek (lásd a jelen fejezet </w:t>
      </w:r>
      <w:proofErr w:type="gramStart"/>
      <w:r w:rsidRPr="003249D9">
        <w:rPr>
          <w:rFonts w:asciiTheme="minorHAnsi" w:hAnsiTheme="minorHAnsi"/>
          <w:i/>
        </w:rPr>
        <w:t>A</w:t>
      </w:r>
      <w:proofErr w:type="gramEnd"/>
      <w:r w:rsidRPr="003249D9">
        <w:rPr>
          <w:rFonts w:asciiTheme="minorHAnsi" w:hAnsiTheme="minorHAnsi"/>
          <w:i/>
        </w:rPr>
        <w:t xml:space="preserve"> felszámolók szerepe </w:t>
      </w:r>
      <w:r w:rsidRPr="003249D9">
        <w:rPr>
          <w:rFonts w:asciiTheme="minorHAnsi" w:hAnsiTheme="minorHAnsi"/>
        </w:rPr>
        <w:t>című pontját).</w:t>
      </w:r>
    </w:p>
    <w:p w:rsidR="00BF6ACB" w:rsidRPr="003249D9" w:rsidRDefault="00BF6ACB" w:rsidP="00BF6ACB">
      <w:pPr>
        <w:pStyle w:val="TASBullet1"/>
        <w:numPr>
          <w:ilvl w:val="0"/>
          <w:numId w:val="0"/>
        </w:numPr>
        <w:ind w:left="288"/>
        <w:rPr>
          <w:rFonts w:asciiTheme="minorHAnsi" w:hAnsiTheme="minorHAnsi"/>
        </w:rPr>
      </w:pPr>
    </w:p>
    <w:p w:rsidR="00BF6ACB" w:rsidRPr="003249D9" w:rsidRDefault="00AB7CFF" w:rsidP="00BF6ACB">
      <w:pPr>
        <w:pStyle w:val="TASTextheading1"/>
        <w:rPr>
          <w:rFonts w:asciiTheme="minorHAnsi" w:hAnsiTheme="minorHAnsi"/>
        </w:rPr>
      </w:pPr>
      <w:r w:rsidRPr="003249D9">
        <w:rPr>
          <w:rFonts w:asciiTheme="minorHAnsi" w:hAnsiTheme="minorHAnsi"/>
        </w:rPr>
        <w:t>8. EGYÉB EMLÍTÉSRE MÉLTÓ PONTOK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Az érintettek kiemeltek még néhány más pontot is, melyeket érdemes itt megemlítenünk, mivel ezek is aggályosak nemzetgazdasági szempontból, és/vagy akadályozzák a hitelezők jogainak érvényesítését. </w:t>
      </w:r>
    </w:p>
    <w:p w:rsidR="00BF6ACB" w:rsidRPr="003249D9" w:rsidRDefault="00AB7CFF" w:rsidP="00BF6ACB">
      <w:pPr>
        <w:pStyle w:val="TASTextheading3"/>
        <w:rPr>
          <w:rFonts w:asciiTheme="minorHAnsi" w:hAnsiTheme="minorHAnsi"/>
        </w:rPr>
      </w:pPr>
      <w:r w:rsidRPr="003249D9">
        <w:rPr>
          <w:rFonts w:asciiTheme="minorHAnsi" w:hAnsiTheme="minorHAnsi"/>
        </w:rPr>
        <w:t>8.1.1. Kényszertörlési eljárások</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kérdések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 kényszertörlési eljárások egyre növekvő száma (lásd az 1.2. </w:t>
      </w:r>
      <w:r w:rsidRPr="003249D9">
        <w:rPr>
          <w:rFonts w:asciiTheme="minorHAnsi" w:hAnsiTheme="minorHAnsi"/>
          <w:i/>
        </w:rPr>
        <w:t>(A fizetésképtelenségi eljárások terminológiája</w:t>
      </w:r>
      <w:r w:rsidRPr="003249D9">
        <w:rPr>
          <w:rFonts w:asciiTheme="minorHAnsi" w:hAnsiTheme="minorHAnsi"/>
        </w:rPr>
        <w:t xml:space="preserve">) című pontot a Jogi háttér fejezetben), szintén gondot okozhat nemzetgazdasági szempontból. </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jelenlegi jogszabályi keretrendszer alapján a cégbíróság törli az érintett vállalatokat a cégjegyzékből fizetésképtelenségi szakértő bevonása nélkül és a törlést alátámasztó dokumentáció nélkül.</w:t>
      </w:r>
    </w:p>
    <w:p w:rsidR="00BF6ACB" w:rsidRPr="003249D9" w:rsidRDefault="00AB7CFF" w:rsidP="00BF6ACB">
      <w:pPr>
        <w:pStyle w:val="TASTextheading3"/>
        <w:rPr>
          <w:rFonts w:asciiTheme="minorHAnsi" w:hAnsiTheme="minorHAnsi"/>
        </w:rPr>
      </w:pPr>
      <w:r w:rsidRPr="003249D9">
        <w:rPr>
          <w:rFonts w:asciiTheme="minorHAnsi" w:hAnsiTheme="minorHAnsi"/>
        </w:rPr>
        <w:t>Lehetséges megoldások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 kényszertörlési eljárás teljes koncepcióját újra kellene gondolni, </w:t>
      </w:r>
      <w:proofErr w:type="gramStart"/>
      <w:r w:rsidRPr="003249D9">
        <w:rPr>
          <w:rFonts w:asciiTheme="minorHAnsi" w:hAnsiTheme="minorHAnsi"/>
        </w:rPr>
        <w:t>különösen</w:t>
      </w:r>
      <w:proofErr w:type="gramEnd"/>
      <w:r w:rsidRPr="003249D9">
        <w:rPr>
          <w:rFonts w:asciiTheme="minorHAnsi" w:hAnsiTheme="minorHAnsi"/>
        </w:rPr>
        <w:t xml:space="preserve"> ami a felszámolók-vagyonfelügyelők kihagyását illeti az eljárásból.</w:t>
      </w:r>
    </w:p>
    <w:p w:rsidR="00BF6ACB" w:rsidRPr="003249D9" w:rsidRDefault="00AB7CFF" w:rsidP="00BF6ACB">
      <w:pPr>
        <w:pStyle w:val="TASTextheading3"/>
        <w:rPr>
          <w:rFonts w:asciiTheme="minorHAnsi" w:hAnsiTheme="minorHAnsi"/>
        </w:rPr>
      </w:pPr>
      <w:r w:rsidRPr="003249D9">
        <w:rPr>
          <w:rFonts w:asciiTheme="minorHAnsi" w:hAnsiTheme="minorHAnsi"/>
        </w:rPr>
        <w:t>8.1.2. Külön rendszer a stratégiai fontosságú gazdálkodó szervezetekre vonatkozóan</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kérdések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legjelentősebb és legnagyobb értékű esetek ebben a különleges kategóriában fordulnak elő, amelyet a Csődtörvény határoz meg (lásd a 6. pontot (</w:t>
      </w:r>
      <w:r w:rsidR="00B376C1" w:rsidRPr="003F05FC">
        <w:rPr>
          <w:rFonts w:asciiTheme="minorHAnsi" w:hAnsiTheme="minorHAnsi"/>
          <w:i/>
        </w:rPr>
        <w:t>A stratégiailag kiemelt jelentőségű gazdálkodó szervezetekre vonatkozó eltérő rendelkezések</w:t>
      </w:r>
      <w:r w:rsidRPr="003249D9">
        <w:rPr>
          <w:rFonts w:asciiTheme="minorHAnsi" w:hAnsiTheme="minorHAnsi"/>
        </w:rPr>
        <w:t>) a Jogi háttér című fejezetben). Ezzel a rendelkezéssel kapcsolatosan azonban számos probléma merül fel, mint például:</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lastRenderedPageBreak/>
        <w:t>mivel a „stratégiai fontosságot” homályos kritériumok alapján fogalmazzák meg, gyakorlatilag bármilyen vállalat beleeshet ebbe a kategóriába;</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nincs jogorvoslati lehetőség a kormányzati döntés ellen;</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visszamenőleges hatály annyiban problematikus, hogy </w:t>
      </w:r>
      <w:r w:rsidR="003F05FC">
        <w:rPr>
          <w:rFonts w:asciiTheme="minorHAnsi" w:hAnsiTheme="minorHAnsi"/>
        </w:rPr>
        <w:t>folyamatban lévő</w:t>
      </w:r>
      <w:r w:rsidRPr="003249D9">
        <w:rPr>
          <w:rFonts w:asciiTheme="minorHAnsi" w:hAnsiTheme="minorHAnsi"/>
        </w:rPr>
        <w:t xml:space="preserve"> csőd- és felszámolási eljárás alatt álló adósokat is stratégiai fontosságú vállalattá lehet nyilvánítani;</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ezek az eljárások a hitelezők számára még a szokásos eljárásoknál is kevésbé átláthatók; illetve</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a magyar állam a tulajdonosa annak a felszámoló cégnek, amely kizárólagos joggal bír ezeknek az eljárásoknak a lebonyolítására, de mivel az állam hitelezőként is megjelenhet, összeférhetetlenségi problémák állhatnak elő.</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fentiek fényében ennek a különleges rendszernek a kiszámíthatatlan és átláthatatlan jellege árthat a hitelezőknek, mivel akadályozhatja őket jogaik gyakorlásában és pénzügyileg is hátrányos lehet a számukra.</w:t>
      </w:r>
    </w:p>
    <w:p w:rsidR="00BF6ACB" w:rsidRPr="003249D9" w:rsidRDefault="00AB7CFF" w:rsidP="00BF6ACB">
      <w:pPr>
        <w:pStyle w:val="TASTextheading3"/>
        <w:rPr>
          <w:rFonts w:asciiTheme="minorHAnsi" w:hAnsiTheme="minorHAnsi"/>
        </w:rPr>
      </w:pPr>
      <w:r w:rsidRPr="003249D9">
        <w:rPr>
          <w:rFonts w:asciiTheme="minorHAnsi" w:hAnsiTheme="minorHAnsi"/>
        </w:rPr>
        <w:t>Lehetséges megoldások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különleges rendszer hiányosságait jogszabályi eszközökkel kellene orvosolni, különösen a hitelezői ellenőrzés és átláthatóság kérdésében.</w:t>
      </w:r>
    </w:p>
    <w:p w:rsidR="00BF6ACB" w:rsidRPr="003249D9" w:rsidRDefault="00AB7CFF" w:rsidP="00BF6ACB">
      <w:pPr>
        <w:pStyle w:val="TASTextheading3"/>
        <w:rPr>
          <w:rFonts w:asciiTheme="minorHAnsi" w:hAnsiTheme="minorHAnsi"/>
        </w:rPr>
      </w:pPr>
      <w:r w:rsidRPr="003249D9">
        <w:rPr>
          <w:rFonts w:asciiTheme="minorHAnsi" w:hAnsiTheme="minorHAnsi"/>
        </w:rPr>
        <w:t xml:space="preserve">8.1.3. </w:t>
      </w:r>
      <w:r w:rsidR="00EB6B04">
        <w:rPr>
          <w:rFonts w:asciiTheme="minorHAnsi" w:hAnsiTheme="minorHAnsi"/>
        </w:rPr>
        <w:t>Büntetőjogi</w:t>
      </w:r>
      <w:r w:rsidR="00EB6B04" w:rsidRPr="003249D9">
        <w:rPr>
          <w:rFonts w:asciiTheme="minorHAnsi" w:hAnsiTheme="minorHAnsi"/>
        </w:rPr>
        <w:t xml:space="preserve"> </w:t>
      </w:r>
      <w:r w:rsidRPr="003249D9">
        <w:rPr>
          <w:rFonts w:asciiTheme="minorHAnsi" w:hAnsiTheme="minorHAnsi"/>
        </w:rPr>
        <w:t>szempont</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kérdések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 xml:space="preserve">A bankok növekvő számú csalást és korrupciós esetet tapasztalnak. Ezek hatékony felderítését és szankcionálását gyakran akadályozzák a rendőrség és az ügyészség pénzügyi tájékozottságának és szaktudásának hiányosságai. </w:t>
      </w:r>
    </w:p>
    <w:p w:rsidR="00BF6ACB" w:rsidRPr="003249D9" w:rsidRDefault="00AB7CFF" w:rsidP="00BF6ACB">
      <w:pPr>
        <w:pStyle w:val="TASTextheading3"/>
        <w:rPr>
          <w:rFonts w:asciiTheme="minorHAnsi" w:hAnsiTheme="minorHAnsi"/>
        </w:rPr>
      </w:pPr>
      <w:r w:rsidRPr="003249D9">
        <w:rPr>
          <w:rFonts w:asciiTheme="minorHAnsi" w:hAnsiTheme="minorHAnsi"/>
        </w:rPr>
        <w:t>Lehetséges megoldások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fizetésképtelenségi ügyekre specializálódott bírók mellett a rendőrök és az ügyészek is alaposabb oktatást kellene, hogy kapjanak gazdasági, számviteli és egyéb üzleti jellegű témák kapcsán. Ez elősegítené azoknak az eseteknek a hatékonyabb felderítését és büntetőjogi szankcionálását, ahol a cégvezető és/vagy a tulajdonosok fedezetelvonással szándékosan csökkentik az adós vagyonát, hogy ezzel meghiúsítsák a hitelezők kielégítését.</w:t>
      </w:r>
    </w:p>
    <w:p w:rsidR="00BF6ACB" w:rsidRPr="003249D9" w:rsidRDefault="00AB7CFF" w:rsidP="00BF6ACB">
      <w:pPr>
        <w:pStyle w:val="TASTextheading3"/>
        <w:rPr>
          <w:rFonts w:asciiTheme="minorHAnsi" w:hAnsiTheme="minorHAnsi"/>
        </w:rPr>
      </w:pPr>
      <w:r w:rsidRPr="003249D9">
        <w:rPr>
          <w:rFonts w:asciiTheme="minorHAnsi" w:hAnsiTheme="minorHAnsi"/>
        </w:rPr>
        <w:t>8.1.4. Az új Polgári Törvénykönyvvel kapcsolatos problémák</w:t>
      </w:r>
    </w:p>
    <w:p w:rsidR="00BF6ACB" w:rsidRPr="003249D9" w:rsidRDefault="00AB7CFF" w:rsidP="00BF6ACB">
      <w:pPr>
        <w:pStyle w:val="TASTextheading3"/>
        <w:rPr>
          <w:rFonts w:asciiTheme="minorHAnsi" w:hAnsiTheme="minorHAnsi"/>
        </w:rPr>
      </w:pPr>
      <w:r w:rsidRPr="003249D9">
        <w:rPr>
          <w:rFonts w:asciiTheme="minorHAnsi" w:hAnsiTheme="minorHAnsi"/>
        </w:rPr>
        <w:t>Gyakorlati jogi kérdések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Az új Polgári Törvénykönyv bizonyos rendelkezéseit a Csődtörvénynek is tükröznie kellett, amelyet éppen ezért néhány ponton módosítottak. Sajnos a Csődtörvénynek ez a módosítása belső következetlenségeket okozott a Csődtörvény különböző paragrafusai között. Emiatt a hitelezők jelenleg nem tudhatják biztosan:</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pontosan mikor van az a pont, amely után már nem érvényesíthetik jelzálogjogukat, zálogjogukat vagy más</w:t>
      </w:r>
      <w:r w:rsidR="00EB6B04">
        <w:rPr>
          <w:rFonts w:asciiTheme="minorHAnsi" w:hAnsiTheme="minorHAnsi"/>
        </w:rPr>
        <w:t>biztosítékot</w:t>
      </w:r>
      <w:r w:rsidRPr="003249D9">
        <w:rPr>
          <w:rFonts w:asciiTheme="minorHAnsi" w:hAnsiTheme="minorHAnsi"/>
        </w:rPr>
        <w:t xml:space="preserve"> a felszámolási eljárásban. Jelenleg ez az időpont akár a felszámolás bíróság által elrendelt kezdete előtt is bekövetkezhet; illetve</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Csődtörvénynek melyik rendelkezésére kell hagyatkozniuk az óvadék érvényesítési módjával kapcsolatos jogaikat illetően (pl. </w:t>
      </w:r>
      <w:r w:rsidR="00EB6B04">
        <w:rPr>
          <w:rFonts w:asciiTheme="minorHAnsi" w:hAnsiTheme="minorHAnsi"/>
        </w:rPr>
        <w:t>közvetlen kielégítés</w:t>
      </w:r>
      <w:r w:rsidRPr="003249D9">
        <w:rPr>
          <w:rFonts w:asciiTheme="minorHAnsi" w:hAnsiTheme="minorHAnsi"/>
        </w:rPr>
        <w:t>) a csőd- illetve felszámolási eljárás megindítása után (lásd 5.10 pont (</w:t>
      </w:r>
      <w:r w:rsidRPr="003249D9">
        <w:rPr>
          <w:rFonts w:asciiTheme="minorHAnsi" w:hAnsiTheme="minorHAnsi"/>
          <w:i/>
        </w:rPr>
        <w:t>Bizto</w:t>
      </w:r>
      <w:r w:rsidR="00EB6B04">
        <w:rPr>
          <w:rFonts w:asciiTheme="minorHAnsi" w:hAnsiTheme="minorHAnsi"/>
          <w:i/>
        </w:rPr>
        <w:t>sítékok, követelések prioritása</w:t>
      </w:r>
      <w:r w:rsidRPr="003249D9">
        <w:rPr>
          <w:rFonts w:asciiTheme="minorHAnsi" w:hAnsiTheme="minorHAnsi"/>
        </w:rPr>
        <w:t xml:space="preserve">) a Jogi háttér című fejezetben.). Egy újonnan beiktatott rendelkezés szerint pl. </w:t>
      </w:r>
      <w:r w:rsidR="008C7746">
        <w:rPr>
          <w:rFonts w:asciiTheme="minorHAnsi" w:hAnsiTheme="minorHAnsi"/>
        </w:rPr>
        <w:t>közvetlen kielégítés</w:t>
      </w:r>
      <w:r w:rsidRPr="003249D9">
        <w:rPr>
          <w:rFonts w:asciiTheme="minorHAnsi" w:hAnsiTheme="minorHAnsi"/>
        </w:rPr>
        <w:t xml:space="preserve"> útján már nem jogosultak az óvadék érvényesítésére. Ugyanakkor nem változtak más olyan rendelkezések, amelyek kimondták, hogy az óvadékot egy korlátozott időhatáron belül </w:t>
      </w:r>
      <w:r w:rsidR="008C7746">
        <w:rPr>
          <w:rFonts w:asciiTheme="minorHAnsi" w:hAnsiTheme="minorHAnsi"/>
        </w:rPr>
        <w:t>közvetlen kielégítés útján</w:t>
      </w:r>
      <w:r w:rsidRPr="003249D9">
        <w:rPr>
          <w:rFonts w:asciiTheme="minorHAnsi" w:hAnsiTheme="minorHAnsi"/>
        </w:rPr>
        <w:t xml:space="preserve"> is lehet érvényesíteni.</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Az új Polgári Törvénykönyv megszüntette biztosítéki célú vételi jog létrehozásának lehetőségét fizetési kötelezettségek biztosítására. Ez indokoltnak tűnik lakossági ügyekben, de nem vállalati ügyekben, mivel a bankok elvesztették egyik leghatásosabb eszközüket követeléseik beszedésére.</w:t>
      </w:r>
      <w:r w:rsidR="00EB6B04">
        <w:rPr>
          <w:rFonts w:asciiTheme="minorHAnsi" w:hAnsiTheme="minorHAnsi"/>
        </w:rPr>
        <w:t xml:space="preserve"> </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hitelbiztosítéki nyilvántartás rendelkezései a következő problémákat vetik fel:</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A nyilvántartás nem </w:t>
      </w:r>
      <w:r w:rsidR="008C7746">
        <w:rPr>
          <w:rFonts w:asciiTheme="minorHAnsi" w:hAnsiTheme="minorHAnsi"/>
        </w:rPr>
        <w:t>tanúsítja közhitelesen a benne szereplő vagy belőle hiányzó tényeket</w:t>
      </w:r>
      <w:r w:rsidRPr="003249D9">
        <w:rPr>
          <w:rFonts w:asciiTheme="minorHAnsi" w:hAnsiTheme="minorHAnsi"/>
        </w:rPr>
        <w:t xml:space="preserve">. Csak tájékoztatásra és a nyilvánosság számára szolgál. Ennek megfelelően jelenleg nem lehet pontosan tudni, hogy be lehet-e szerezni valamilyen „hivatalos” igazolást a nyilvántartásból, amelyet a bíróság az érdekeltektől bizonyítéknak tekint, mint korábban a közjegyzők által kiadott hivatalos </w:t>
      </w:r>
      <w:r w:rsidR="008C7746">
        <w:rPr>
          <w:rFonts w:asciiTheme="minorHAnsi" w:hAnsiTheme="minorHAnsi"/>
        </w:rPr>
        <w:t>tanúsítványokat</w:t>
      </w:r>
      <w:r w:rsidRPr="003249D9">
        <w:rPr>
          <w:rFonts w:asciiTheme="minorHAnsi" w:hAnsiTheme="minorHAnsi"/>
        </w:rPr>
        <w:t>.</w:t>
      </w:r>
    </w:p>
    <w:p w:rsidR="00BF6ACB" w:rsidRPr="003249D9" w:rsidRDefault="00AB7CFF" w:rsidP="009A73FD">
      <w:pPr>
        <w:pStyle w:val="TASBullet2"/>
        <w:numPr>
          <w:ilvl w:val="1"/>
          <w:numId w:val="46"/>
        </w:numPr>
        <w:rPr>
          <w:rFonts w:asciiTheme="minorHAnsi" w:hAnsiTheme="minorHAnsi"/>
        </w:rPr>
      </w:pPr>
      <w:r w:rsidRPr="003249D9">
        <w:rPr>
          <w:rFonts w:asciiTheme="minorHAnsi" w:hAnsiTheme="minorHAnsi"/>
        </w:rPr>
        <w:t xml:space="preserve">Ha a zálogkötelezett törlési nyilatkozatot nyújt be a nyilvántartáshoz, a zálogjogosult pedig nem erősíti meg 30 napon belül, hogy fenn kívánja tartani a zálogjogot, a bejegyzett zálogjogot automatikusan törlik a nyilvántartásból. Ez egy </w:t>
      </w:r>
      <w:r w:rsidRPr="003249D9">
        <w:rPr>
          <w:rFonts w:asciiTheme="minorHAnsi" w:hAnsiTheme="minorHAnsi"/>
        </w:rPr>
        <w:lastRenderedPageBreak/>
        <w:t xml:space="preserve">meglehetősen szerencsétlen rendelkezés, különösen azokra </w:t>
      </w:r>
      <w:r w:rsidR="008C7746">
        <w:rPr>
          <w:rFonts w:asciiTheme="minorHAnsi" w:hAnsiTheme="minorHAnsi"/>
        </w:rPr>
        <w:t xml:space="preserve">a zálogjogosultakra </w:t>
      </w:r>
      <w:r w:rsidRPr="003249D9">
        <w:rPr>
          <w:rFonts w:asciiTheme="minorHAnsi" w:hAnsiTheme="minorHAnsi"/>
        </w:rPr>
        <w:t>nézve, akik nem Magyarországon működnek, és visszaélésekre adhat lehetőséget.</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jelzálogra</w:t>
      </w:r>
      <w:r w:rsidR="008C7746">
        <w:rPr>
          <w:rFonts w:asciiTheme="minorHAnsi" w:hAnsiTheme="minorHAnsi"/>
        </w:rPr>
        <w:t xml:space="preserve"> és</w:t>
      </w:r>
      <w:r w:rsidRPr="003249D9">
        <w:rPr>
          <w:rFonts w:asciiTheme="minorHAnsi" w:hAnsiTheme="minorHAnsi"/>
        </w:rPr>
        <w:t xml:space="preserve"> zálogjogra vonatkozó új rendelkezések </w:t>
      </w:r>
      <w:r w:rsidR="008C7746">
        <w:rPr>
          <w:rFonts w:asciiTheme="minorHAnsi" w:hAnsiTheme="minorHAnsi"/>
        </w:rPr>
        <w:t>kógens jellegűek</w:t>
      </w:r>
      <w:r w:rsidRPr="003249D9">
        <w:rPr>
          <w:rFonts w:asciiTheme="minorHAnsi" w:hAnsiTheme="minorHAnsi"/>
        </w:rPr>
        <w:t>, a felek azoktól a biztosítéki szerződésben nem térhetnek el. Ugyanakkor nem világos, hogy a felek érvényesen szerepeltethetnek-e további jogokat és kötelezettségeket a biztosítéki szerződésben, amennyiben azok nem mondanak ellent az új Polgári Törvénykönyv rendelkezéseinek.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 fenti tisztázatlanságok miatt a hitelezők nem feltétlenül érdekeltek abban, hogy az új Polgári Törvénykönyv alapján újabb finanszírozási lehetőséget adjanak a meglévő adósság refinanszírozására. Ez pedig megakadályozza az adósság sikeres átstrukturálását.</w:t>
      </w:r>
    </w:p>
    <w:p w:rsidR="00BF6ACB" w:rsidRPr="003249D9" w:rsidRDefault="00AB7CFF" w:rsidP="00BF6ACB">
      <w:pPr>
        <w:pStyle w:val="TASTextheading3"/>
        <w:rPr>
          <w:rFonts w:asciiTheme="minorHAnsi" w:hAnsiTheme="minorHAnsi"/>
        </w:rPr>
      </w:pPr>
      <w:r w:rsidRPr="003249D9">
        <w:rPr>
          <w:rFonts w:asciiTheme="minorHAnsi" w:hAnsiTheme="minorHAnsi"/>
        </w:rPr>
        <w:t>Lehetséges megoldások</w:t>
      </w:r>
    </w:p>
    <w:p w:rsidR="00BF6ACB" w:rsidRPr="003249D9" w:rsidRDefault="00AB7CFF" w:rsidP="009A73FD">
      <w:pPr>
        <w:pStyle w:val="TASBullet1"/>
        <w:numPr>
          <w:ilvl w:val="0"/>
          <w:numId w:val="46"/>
        </w:numPr>
        <w:rPr>
          <w:rFonts w:asciiTheme="minorHAnsi" w:hAnsiTheme="minorHAnsi"/>
        </w:rPr>
      </w:pPr>
      <w:r w:rsidRPr="003249D9">
        <w:rPr>
          <w:rFonts w:asciiTheme="minorHAnsi" w:hAnsiTheme="minorHAnsi"/>
        </w:rPr>
        <w:t>Az Új Polgári Törvénykönyvet módosítani kellene az érintettek visszajelzései alapján a kétértelműségek kizárása végett.</w:t>
      </w:r>
    </w:p>
    <w:p w:rsidR="001872F1" w:rsidRPr="003249D9" w:rsidRDefault="001872F1" w:rsidP="009A73FD">
      <w:pPr>
        <w:pStyle w:val="TASBullet1"/>
        <w:numPr>
          <w:ilvl w:val="0"/>
          <w:numId w:val="46"/>
        </w:numPr>
        <w:rPr>
          <w:rFonts w:asciiTheme="minorHAnsi" w:hAnsiTheme="minorHAnsi"/>
        </w:rPr>
        <w:sectPr w:rsidR="001872F1" w:rsidRPr="003249D9" w:rsidSect="00BF6ACB">
          <w:headerReference w:type="default" r:id="rId80"/>
          <w:footerReference w:type="default" r:id="rId81"/>
          <w:pgSz w:w="11907" w:h="16839" w:code="9"/>
          <w:pgMar w:top="2304" w:right="792" w:bottom="1022" w:left="792" w:header="605" w:footer="706" w:gutter="0"/>
          <w:cols w:space="720"/>
          <w:docGrid w:linePitch="360"/>
        </w:sectPr>
      </w:pPr>
    </w:p>
    <w:p w:rsidR="00BF6ACB" w:rsidRPr="003249D9" w:rsidRDefault="00AB7CFF" w:rsidP="00BF6ACB">
      <w:pPr>
        <w:pStyle w:val="TASSectiontitle"/>
        <w:framePr w:wrap="around"/>
        <w:rPr>
          <w:rFonts w:asciiTheme="minorHAnsi" w:hAnsiTheme="minorHAnsi"/>
        </w:rPr>
      </w:pPr>
      <w:bookmarkStart w:id="29" w:name="_Toc401154927"/>
      <w:bookmarkStart w:id="30" w:name="_Toc403750030"/>
      <w:r w:rsidRPr="003249D9">
        <w:rPr>
          <w:rFonts w:asciiTheme="minorHAnsi" w:hAnsiTheme="minorHAnsi"/>
        </w:rPr>
        <w:lastRenderedPageBreak/>
        <w:t>Mellékletek</w:t>
      </w:r>
      <w:bookmarkEnd w:id="29"/>
      <w:bookmarkEnd w:id="30"/>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sdt>
      <w:sdtPr>
        <w:rPr>
          <w:rFonts w:asciiTheme="minorHAnsi" w:hAnsiTheme="minorHAnsi"/>
        </w:rPr>
        <w:alias w:val="TAS Subsection TOC"/>
        <w:tag w:val="TASSubsectionTOC"/>
        <w:id w:val="1042252214"/>
      </w:sdtPr>
      <w:sdtContent>
        <w:p w:rsidR="00BF6ACB" w:rsidRPr="003249D9" w:rsidRDefault="00AB7CFF" w:rsidP="009A73FD">
          <w:pPr>
            <w:pStyle w:val="TASTOC3"/>
            <w:numPr>
              <w:ilvl w:val="0"/>
              <w:numId w:val="53"/>
            </w:numPr>
            <w:rPr>
              <w:rFonts w:asciiTheme="minorHAnsi" w:hAnsiTheme="minorHAnsi"/>
            </w:rPr>
          </w:pPr>
          <w:r w:rsidRPr="003249D9">
            <w:rPr>
              <w:rFonts w:asciiTheme="minorHAnsi" w:hAnsiTheme="minorHAnsi"/>
            </w:rPr>
            <w:t>A melléklet</w:t>
          </w:r>
        </w:p>
        <w:p w:rsidR="00BF6ACB" w:rsidRPr="003249D9" w:rsidRDefault="00AB7CFF" w:rsidP="00BF6ACB">
          <w:pPr>
            <w:pStyle w:val="TASTOC3"/>
            <w:rPr>
              <w:rFonts w:asciiTheme="minorHAnsi" w:hAnsiTheme="minorHAnsi"/>
            </w:rPr>
          </w:pPr>
          <w:r w:rsidRPr="003249D9">
            <w:rPr>
              <w:rFonts w:asciiTheme="minorHAnsi" w:hAnsiTheme="minorHAnsi"/>
            </w:rPr>
            <w:t>B melléklet</w:t>
          </w:r>
        </w:p>
        <w:p w:rsidR="001872F1" w:rsidRPr="003249D9" w:rsidRDefault="001872F1" w:rsidP="00BF6ACB">
          <w:pPr>
            <w:pStyle w:val="TASTOC3"/>
            <w:rPr>
              <w:rFonts w:asciiTheme="minorHAnsi" w:hAnsiTheme="minorHAnsi"/>
            </w:rPr>
          </w:pPr>
          <w:r w:rsidRPr="003249D9">
            <w:rPr>
              <w:rFonts w:asciiTheme="minorHAnsi" w:hAnsiTheme="minorHAnsi"/>
            </w:rPr>
            <w:t>C melléklet</w:t>
          </w:r>
        </w:p>
        <w:p w:rsidR="00BF6ACB" w:rsidRPr="003249D9" w:rsidRDefault="00AB7CFF" w:rsidP="00BF6ACB">
          <w:pPr>
            <w:pStyle w:val="TASTOC3"/>
            <w:rPr>
              <w:rFonts w:asciiTheme="minorHAnsi" w:hAnsiTheme="minorHAnsi"/>
            </w:rPr>
          </w:pPr>
          <w:r w:rsidRPr="003249D9">
            <w:rPr>
              <w:rFonts w:asciiTheme="minorHAnsi" w:hAnsiTheme="minorHAnsi"/>
            </w:rPr>
            <w:t>D melléklet</w:t>
          </w:r>
        </w:p>
        <w:p w:rsidR="00BF6ACB" w:rsidRPr="003249D9" w:rsidRDefault="00AB7CFF" w:rsidP="00BF6ACB">
          <w:pPr>
            <w:pStyle w:val="TASTOC3"/>
            <w:rPr>
              <w:rFonts w:asciiTheme="minorHAnsi" w:hAnsiTheme="minorHAnsi"/>
            </w:rPr>
          </w:pPr>
          <w:r w:rsidRPr="003249D9">
            <w:rPr>
              <w:rFonts w:asciiTheme="minorHAnsi" w:hAnsiTheme="minorHAnsi"/>
            </w:rPr>
            <w:t>E melléklet</w:t>
          </w:r>
        </w:p>
      </w:sdtContent>
    </w:sdt>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sectPr w:rsidR="00BF6ACB" w:rsidRPr="003249D9" w:rsidSect="00BF6ACB">
          <w:headerReference w:type="default" r:id="rId82"/>
          <w:footerReference w:type="default" r:id="rId83"/>
          <w:headerReference w:type="first" r:id="rId84"/>
          <w:footerReference w:type="first" r:id="rId85"/>
          <w:pgSz w:w="11906" w:h="16838" w:code="9"/>
          <w:pgMar w:top="2304" w:right="792" w:bottom="792" w:left="792" w:header="605" w:footer="706" w:gutter="0"/>
          <w:cols w:space="708"/>
          <w:docGrid w:linePitch="360"/>
        </w:sectPr>
      </w:pPr>
    </w:p>
    <w:p w:rsidR="00BF6ACB" w:rsidRPr="003249D9" w:rsidRDefault="00AB7CFF" w:rsidP="00BF6ACB">
      <w:pPr>
        <w:pStyle w:val="TASSubsection"/>
        <w:framePr w:wrap="around"/>
        <w:rPr>
          <w:rFonts w:asciiTheme="minorHAnsi" w:hAnsiTheme="minorHAnsi"/>
        </w:rPr>
      </w:pPr>
      <w:bookmarkStart w:id="31" w:name="_Toc401154928"/>
      <w:bookmarkStart w:id="32" w:name="_Toc403750031"/>
      <w:r w:rsidRPr="003249D9">
        <w:rPr>
          <w:rFonts w:asciiTheme="minorHAnsi" w:hAnsiTheme="minorHAnsi"/>
        </w:rPr>
        <w:lastRenderedPageBreak/>
        <w:t>A melléklet</w:t>
      </w:r>
      <w:bookmarkEnd w:id="31"/>
      <w:bookmarkEnd w:id="32"/>
    </w:p>
    <w:p w:rsidR="00BF6ACB" w:rsidRPr="003249D9" w:rsidRDefault="00AB7CFF" w:rsidP="00BF6ACB">
      <w:pPr>
        <w:pStyle w:val="TASStraplinefirst"/>
        <w:framePr w:wrap="notBeside"/>
        <w:rPr>
          <w:rFonts w:asciiTheme="minorHAnsi" w:hAnsiTheme="minorHAnsi"/>
        </w:rPr>
      </w:pPr>
      <w:r w:rsidRPr="003249D9">
        <w:rPr>
          <w:rFonts w:asciiTheme="minorHAnsi" w:hAnsiTheme="minorHAnsi"/>
        </w:rPr>
        <w:t xml:space="preserve">VONATKOZÓ JOGSZABÁLYOK </w:t>
      </w:r>
      <w:proofErr w:type="gramStart"/>
      <w:r w:rsidRPr="003249D9">
        <w:rPr>
          <w:rFonts w:asciiTheme="minorHAnsi" w:hAnsiTheme="minorHAnsi"/>
        </w:rPr>
        <w:t>ÉS</w:t>
      </w:r>
      <w:proofErr w:type="gramEnd"/>
      <w:r w:rsidRPr="003249D9">
        <w:rPr>
          <w:rFonts w:asciiTheme="minorHAnsi" w:hAnsiTheme="minorHAnsi"/>
        </w:rPr>
        <w:t xml:space="preserve"> RENDELETEK LISTÁJA</w:t>
      </w:r>
    </w:p>
    <w:p w:rsidR="00BF6ACB" w:rsidRPr="003249D9" w:rsidRDefault="00AB7CFF" w:rsidP="009A73FD">
      <w:pPr>
        <w:pStyle w:val="TASBullet1"/>
        <w:numPr>
          <w:ilvl w:val="0"/>
          <w:numId w:val="54"/>
        </w:numPr>
        <w:tabs>
          <w:tab w:val="left" w:pos="288"/>
        </w:tabs>
        <w:rPr>
          <w:rFonts w:asciiTheme="minorHAnsi" w:hAnsiTheme="minorHAnsi"/>
        </w:rPr>
      </w:pPr>
      <w:r w:rsidRPr="003249D9">
        <w:rPr>
          <w:rFonts w:asciiTheme="minorHAnsi" w:hAnsiTheme="minorHAnsi"/>
        </w:rPr>
        <w:t>A Tanács 2000. május 29-i 1346/2000/EK rendelete a fizetésképtelenségi eljárásról;</w:t>
      </w:r>
    </w:p>
    <w:p w:rsidR="00BF6ACB" w:rsidRPr="003249D9" w:rsidRDefault="00AB7CFF" w:rsidP="009A73FD">
      <w:pPr>
        <w:pStyle w:val="TASBullet1"/>
        <w:numPr>
          <w:ilvl w:val="0"/>
          <w:numId w:val="54"/>
        </w:numPr>
        <w:rPr>
          <w:rFonts w:asciiTheme="minorHAnsi" w:hAnsiTheme="minorHAnsi"/>
        </w:rPr>
      </w:pPr>
      <w:r w:rsidRPr="003249D9">
        <w:rPr>
          <w:rFonts w:asciiTheme="minorHAnsi" w:hAnsiTheme="minorHAnsi"/>
        </w:rPr>
        <w:t>1952. évi III. törvény a polgári perrendtartásról;</w:t>
      </w:r>
    </w:p>
    <w:p w:rsidR="00BF6ACB" w:rsidRPr="003249D9" w:rsidRDefault="00AB7CFF" w:rsidP="009A73FD">
      <w:pPr>
        <w:pStyle w:val="TASBullet1"/>
        <w:numPr>
          <w:ilvl w:val="0"/>
          <w:numId w:val="54"/>
        </w:numPr>
        <w:tabs>
          <w:tab w:val="left" w:pos="288"/>
        </w:tabs>
        <w:rPr>
          <w:rFonts w:asciiTheme="minorHAnsi" w:hAnsiTheme="minorHAnsi"/>
        </w:rPr>
      </w:pPr>
      <w:r w:rsidRPr="003249D9">
        <w:rPr>
          <w:rFonts w:asciiTheme="minorHAnsi" w:hAnsiTheme="minorHAnsi"/>
        </w:rPr>
        <w:t>1959. évi IV. törvény a Polgári Törvénykönyvről;</w:t>
      </w:r>
      <w:r w:rsidRPr="003249D9">
        <w:rPr>
          <w:rStyle w:val="FootnoteReference"/>
          <w:rFonts w:asciiTheme="minorHAnsi" w:hAnsiTheme="minorHAnsi"/>
        </w:rPr>
        <w:footnoteReference w:id="18"/>
      </w:r>
    </w:p>
    <w:p w:rsidR="00BF6ACB" w:rsidRPr="003249D9" w:rsidRDefault="00AB7CFF" w:rsidP="009A73FD">
      <w:pPr>
        <w:pStyle w:val="TASBullet1"/>
        <w:numPr>
          <w:ilvl w:val="0"/>
          <w:numId w:val="54"/>
        </w:numPr>
        <w:tabs>
          <w:tab w:val="left" w:pos="288"/>
        </w:tabs>
        <w:rPr>
          <w:rFonts w:asciiTheme="minorHAnsi" w:hAnsiTheme="minorHAnsi"/>
        </w:rPr>
      </w:pPr>
      <w:r w:rsidRPr="003249D9">
        <w:rPr>
          <w:rFonts w:asciiTheme="minorHAnsi" w:hAnsiTheme="minorHAnsi"/>
        </w:rPr>
        <w:t>1991. évi XLIX. törvény a csődeljárásról és a felszámolási eljárásról;</w:t>
      </w:r>
    </w:p>
    <w:p w:rsidR="00BF6ACB" w:rsidRPr="003249D9" w:rsidRDefault="00AB7CFF" w:rsidP="009A73FD">
      <w:pPr>
        <w:pStyle w:val="TASBullet1"/>
        <w:numPr>
          <w:ilvl w:val="0"/>
          <w:numId w:val="54"/>
        </w:numPr>
        <w:tabs>
          <w:tab w:val="left" w:pos="288"/>
        </w:tabs>
        <w:rPr>
          <w:rFonts w:asciiTheme="minorHAnsi" w:hAnsiTheme="minorHAnsi"/>
        </w:rPr>
      </w:pPr>
      <w:r w:rsidRPr="003249D9">
        <w:rPr>
          <w:rFonts w:asciiTheme="minorHAnsi" w:hAnsiTheme="minorHAnsi"/>
        </w:rPr>
        <w:t>1994. évi LIII. törvény. a bírósági végrehajtásról;</w:t>
      </w:r>
    </w:p>
    <w:p w:rsidR="00BF6ACB" w:rsidRPr="003249D9" w:rsidRDefault="00AB7CFF" w:rsidP="009A73FD">
      <w:pPr>
        <w:pStyle w:val="TASBullet1"/>
        <w:numPr>
          <w:ilvl w:val="0"/>
          <w:numId w:val="54"/>
        </w:numPr>
        <w:tabs>
          <w:tab w:val="left" w:pos="288"/>
        </w:tabs>
        <w:rPr>
          <w:rFonts w:asciiTheme="minorHAnsi" w:hAnsiTheme="minorHAnsi"/>
        </w:rPr>
      </w:pPr>
      <w:r w:rsidRPr="003249D9">
        <w:rPr>
          <w:rFonts w:asciiTheme="minorHAnsi" w:hAnsiTheme="minorHAnsi"/>
        </w:rPr>
        <w:t>2006. évi IV. törvény a gazdasági társaságokról;</w:t>
      </w:r>
      <w:r w:rsidRPr="003249D9">
        <w:rPr>
          <w:rStyle w:val="FootnoteReference"/>
          <w:rFonts w:asciiTheme="minorHAnsi" w:hAnsiTheme="minorHAnsi"/>
        </w:rPr>
        <w:footnoteReference w:id="19"/>
      </w:r>
    </w:p>
    <w:p w:rsidR="00BF6ACB" w:rsidRPr="003249D9" w:rsidRDefault="00AB7CFF" w:rsidP="009A73FD">
      <w:pPr>
        <w:pStyle w:val="TASBullet1"/>
        <w:numPr>
          <w:ilvl w:val="0"/>
          <w:numId w:val="54"/>
        </w:numPr>
        <w:tabs>
          <w:tab w:val="left" w:pos="288"/>
        </w:tabs>
        <w:rPr>
          <w:rFonts w:asciiTheme="minorHAnsi" w:hAnsiTheme="minorHAnsi"/>
        </w:rPr>
      </w:pPr>
      <w:r w:rsidRPr="003249D9">
        <w:rPr>
          <w:rFonts w:asciiTheme="minorHAnsi" w:hAnsiTheme="minorHAnsi"/>
        </w:rPr>
        <w:t>2006. évi V. törvény. a cégnyilvánosságról, a bírósági cégeljárásról és a végelszámolásról;</w:t>
      </w:r>
    </w:p>
    <w:p w:rsidR="00BF6ACB" w:rsidRPr="003249D9" w:rsidRDefault="00AB7CFF" w:rsidP="009A73FD">
      <w:pPr>
        <w:pStyle w:val="TASBullet1"/>
        <w:numPr>
          <w:ilvl w:val="0"/>
          <w:numId w:val="54"/>
        </w:numPr>
        <w:tabs>
          <w:tab w:val="left" w:pos="288"/>
        </w:tabs>
        <w:rPr>
          <w:rFonts w:asciiTheme="minorHAnsi" w:hAnsiTheme="minorHAnsi"/>
        </w:rPr>
      </w:pPr>
      <w:r w:rsidRPr="003249D9">
        <w:rPr>
          <w:rFonts w:asciiTheme="minorHAnsi" w:hAnsiTheme="minorHAnsi"/>
        </w:rPr>
        <w:t>2013. évi V. törvény a Polgári Törvénykönyvről;</w:t>
      </w:r>
    </w:p>
    <w:p w:rsidR="00BF6ACB" w:rsidRPr="003249D9" w:rsidRDefault="00AB7CFF" w:rsidP="009A73FD">
      <w:pPr>
        <w:pStyle w:val="TASBullet1"/>
        <w:numPr>
          <w:ilvl w:val="0"/>
          <w:numId w:val="54"/>
        </w:numPr>
        <w:tabs>
          <w:tab w:val="left" w:pos="288"/>
        </w:tabs>
        <w:rPr>
          <w:rFonts w:asciiTheme="minorHAnsi" w:hAnsiTheme="minorHAnsi"/>
        </w:rPr>
      </w:pPr>
      <w:r w:rsidRPr="003249D9">
        <w:rPr>
          <w:rFonts w:asciiTheme="minorHAnsi" w:hAnsiTheme="minorHAnsi"/>
        </w:rPr>
        <w:t>1979. évi 13. számú törvényerejű rendelet a nemzetközi magánjogról;</w:t>
      </w:r>
    </w:p>
    <w:p w:rsidR="00BF6ACB" w:rsidRPr="003249D9" w:rsidRDefault="00AB7CFF" w:rsidP="009A73FD">
      <w:pPr>
        <w:pStyle w:val="TASBullet1"/>
        <w:numPr>
          <w:ilvl w:val="0"/>
          <w:numId w:val="54"/>
        </w:numPr>
        <w:tabs>
          <w:tab w:val="left" w:pos="288"/>
        </w:tabs>
        <w:rPr>
          <w:rFonts w:asciiTheme="minorHAnsi" w:hAnsiTheme="minorHAnsi"/>
        </w:rPr>
      </w:pPr>
      <w:r w:rsidRPr="003249D9">
        <w:rPr>
          <w:rFonts w:asciiTheme="minorHAnsi" w:hAnsiTheme="minorHAnsi"/>
        </w:rPr>
        <w:t>225/2000. (XII. 19.) Kormányrendelet a felszámolás számviteli feladatairól;</w:t>
      </w:r>
    </w:p>
    <w:p w:rsidR="00BF6ACB" w:rsidRPr="003249D9" w:rsidRDefault="00AB7CFF" w:rsidP="009A73FD">
      <w:pPr>
        <w:pStyle w:val="TASBullet1"/>
        <w:numPr>
          <w:ilvl w:val="0"/>
          <w:numId w:val="54"/>
        </w:numPr>
        <w:tabs>
          <w:tab w:val="left" w:pos="288"/>
        </w:tabs>
        <w:rPr>
          <w:rFonts w:asciiTheme="minorHAnsi" w:hAnsiTheme="minorHAnsi"/>
        </w:rPr>
      </w:pPr>
      <w:r w:rsidRPr="003249D9">
        <w:rPr>
          <w:rFonts w:asciiTheme="minorHAnsi" w:hAnsiTheme="minorHAnsi"/>
        </w:rPr>
        <w:t>250/2004. (XII. 27.) Kormányrendelet a végrehajtói kézbesítés részletes eljárási szabályairól;</w:t>
      </w:r>
    </w:p>
    <w:p w:rsidR="00BF6ACB" w:rsidRPr="003249D9" w:rsidRDefault="00AB7CFF" w:rsidP="009A73FD">
      <w:pPr>
        <w:pStyle w:val="TASBullet1"/>
        <w:numPr>
          <w:ilvl w:val="0"/>
          <w:numId w:val="54"/>
        </w:numPr>
        <w:tabs>
          <w:tab w:val="left" w:pos="288"/>
        </w:tabs>
        <w:rPr>
          <w:rFonts w:asciiTheme="minorHAnsi" w:hAnsiTheme="minorHAnsi"/>
        </w:rPr>
      </w:pPr>
      <w:r w:rsidRPr="003249D9">
        <w:rPr>
          <w:rFonts w:asciiTheme="minorHAnsi" w:hAnsiTheme="minorHAnsi"/>
        </w:rPr>
        <w:t>114/2006. (V. 12.) Kormányrendelet a felszámolók névjegyzékéről;</w:t>
      </w:r>
    </w:p>
    <w:p w:rsidR="00BF6ACB" w:rsidRPr="003249D9" w:rsidRDefault="00AB7CFF" w:rsidP="009A73FD">
      <w:pPr>
        <w:pStyle w:val="TASBullet1"/>
        <w:numPr>
          <w:ilvl w:val="0"/>
          <w:numId w:val="54"/>
        </w:numPr>
        <w:tabs>
          <w:tab w:val="left" w:pos="288"/>
        </w:tabs>
        <w:rPr>
          <w:rFonts w:asciiTheme="minorHAnsi" w:hAnsiTheme="minorHAnsi"/>
        </w:rPr>
      </w:pPr>
      <w:r w:rsidRPr="003249D9">
        <w:rPr>
          <w:rFonts w:asciiTheme="minorHAnsi" w:hAnsiTheme="minorHAnsi"/>
        </w:rPr>
        <w:t>33/2009. (VIII. 26.) IRM rendelet a csődeljárás iránti kérelem benyújtására vonatkozó formanyomtatványokról;</w:t>
      </w:r>
    </w:p>
    <w:p w:rsidR="00BF6ACB" w:rsidRPr="003249D9" w:rsidRDefault="00AB7CFF" w:rsidP="009A73FD">
      <w:pPr>
        <w:pStyle w:val="TASBullet1"/>
        <w:numPr>
          <w:ilvl w:val="0"/>
          <w:numId w:val="54"/>
        </w:numPr>
        <w:tabs>
          <w:tab w:val="left" w:pos="288"/>
        </w:tabs>
        <w:rPr>
          <w:rFonts w:asciiTheme="minorHAnsi" w:hAnsiTheme="minorHAnsi"/>
        </w:rPr>
      </w:pPr>
      <w:r w:rsidRPr="003249D9">
        <w:rPr>
          <w:rFonts w:asciiTheme="minorHAnsi" w:hAnsiTheme="minorHAnsi"/>
        </w:rPr>
        <w:t>38/2009. (VIII. 31.) IRM rendelet a Tanács fizetésképtelenségi eljárásokról szóló 1346/2000/EK rendeletének 40.cikkében előírt értesítés formai és tartalmi kellékeiről;</w:t>
      </w:r>
    </w:p>
    <w:p w:rsidR="00BF6ACB" w:rsidRPr="003249D9" w:rsidRDefault="00AB7CFF" w:rsidP="009A73FD">
      <w:pPr>
        <w:pStyle w:val="TASBullet1"/>
        <w:numPr>
          <w:ilvl w:val="0"/>
          <w:numId w:val="54"/>
        </w:numPr>
        <w:tabs>
          <w:tab w:val="left" w:pos="288"/>
        </w:tabs>
        <w:rPr>
          <w:rFonts w:asciiTheme="minorHAnsi" w:hAnsiTheme="minorHAnsi"/>
        </w:rPr>
      </w:pPr>
      <w:r w:rsidRPr="003249D9">
        <w:rPr>
          <w:rFonts w:asciiTheme="minorHAnsi" w:hAnsiTheme="minorHAnsi"/>
        </w:rPr>
        <w:t xml:space="preserve">237/2009 (X. 20.) Kormányrendelet a felszámolási eljárásban az adós vagyontárgyainak nyilvános értékesítésére vonatkozó részletes szabályokról, továbbá a felszámolás számviteli feladatairól szóló 225/2000. (XII. 19.) Kormányrendelet módosításáról; </w:t>
      </w:r>
    </w:p>
    <w:p w:rsidR="00BF6ACB" w:rsidRPr="003249D9" w:rsidRDefault="00AB7CFF" w:rsidP="009A73FD">
      <w:pPr>
        <w:pStyle w:val="TASBullet1"/>
        <w:numPr>
          <w:ilvl w:val="0"/>
          <w:numId w:val="54"/>
        </w:numPr>
        <w:tabs>
          <w:tab w:val="left" w:pos="288"/>
        </w:tabs>
        <w:rPr>
          <w:rFonts w:asciiTheme="minorHAnsi" w:hAnsiTheme="minorHAnsi"/>
        </w:rPr>
      </w:pPr>
      <w:r w:rsidRPr="003249D9">
        <w:rPr>
          <w:rFonts w:asciiTheme="minorHAnsi" w:hAnsiTheme="minorHAnsi"/>
        </w:rPr>
        <w:t>17/2014. (XII. 3.) Kormányrendelet a felszámolási eljárásban az adós vagyontárgyainak elektronikus értékesítéséről</w:t>
      </w: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pPr>
    </w:p>
    <w:p w:rsidR="00BF6ACB" w:rsidRPr="003249D9" w:rsidRDefault="00BF6ACB" w:rsidP="00BF6ACB">
      <w:pPr>
        <w:pStyle w:val="TASBodytext"/>
        <w:rPr>
          <w:rFonts w:asciiTheme="minorHAnsi" w:hAnsiTheme="minorHAnsi"/>
        </w:rPr>
        <w:sectPr w:rsidR="00BF6ACB" w:rsidRPr="003249D9" w:rsidSect="00BF6ACB">
          <w:headerReference w:type="default" r:id="rId86"/>
          <w:footerReference w:type="default" r:id="rId87"/>
          <w:pgSz w:w="11907" w:h="16839" w:code="9"/>
          <w:pgMar w:top="2304" w:right="792" w:bottom="1022" w:left="792" w:header="605" w:footer="706" w:gutter="0"/>
          <w:cols w:space="720"/>
          <w:docGrid w:linePitch="360"/>
        </w:sectPr>
      </w:pPr>
    </w:p>
    <w:p w:rsidR="00BF6ACB" w:rsidRPr="003249D9" w:rsidRDefault="00AB7CFF" w:rsidP="00BF6ACB">
      <w:pPr>
        <w:pStyle w:val="TASSubsection"/>
        <w:framePr w:wrap="around"/>
        <w:rPr>
          <w:rFonts w:asciiTheme="minorHAnsi" w:hAnsiTheme="minorHAnsi"/>
        </w:rPr>
      </w:pPr>
      <w:bookmarkStart w:id="33" w:name="_Toc401154929"/>
      <w:bookmarkStart w:id="34" w:name="_Toc403750032"/>
      <w:r w:rsidRPr="003249D9">
        <w:rPr>
          <w:rFonts w:asciiTheme="minorHAnsi" w:hAnsiTheme="minorHAnsi"/>
        </w:rPr>
        <w:lastRenderedPageBreak/>
        <w:t>B melléklet</w:t>
      </w:r>
      <w:bookmarkEnd w:id="33"/>
      <w:bookmarkEnd w:id="34"/>
    </w:p>
    <w:p w:rsidR="00BF6ACB" w:rsidRPr="003249D9" w:rsidRDefault="00AB7CFF" w:rsidP="00BF6ACB">
      <w:pPr>
        <w:pStyle w:val="TASStraplinefirst"/>
        <w:framePr w:wrap="notBeside"/>
        <w:rPr>
          <w:rFonts w:asciiTheme="minorHAnsi" w:hAnsiTheme="minorHAnsi"/>
        </w:rPr>
      </w:pPr>
      <w:r w:rsidRPr="003249D9">
        <w:rPr>
          <w:rFonts w:asciiTheme="minorHAnsi" w:hAnsiTheme="minorHAnsi"/>
        </w:rPr>
        <w:t>A CSŐDELJÁRÁS ALAPLÉPÉSEINEK FOLYMATÁBRÁJA</w:t>
      </w:r>
    </w:p>
    <w:p w:rsidR="00BF6ACB" w:rsidRPr="003249D9" w:rsidRDefault="004057CC" w:rsidP="00BF6ACB">
      <w:pPr>
        <w:widowControl w:val="0"/>
        <w:rPr>
          <w:rFonts w:asciiTheme="minorHAnsi" w:hAnsiTheme="minorHAnsi"/>
        </w:rPr>
      </w:pPr>
      <w:r>
        <w:rPr>
          <w:rFonts w:asciiTheme="minorHAnsi" w:hAnsiTheme="minorHAnsi"/>
          <w:noProof/>
          <w:lang w:bidi="ar-SA"/>
        </w:rPr>
        <mc:AlternateContent>
          <mc:Choice Requires="wps">
            <w:drawing>
              <wp:anchor distT="0" distB="0" distL="114298" distR="114298" simplePos="0" relativeHeight="251567104" behindDoc="0" locked="0" layoutInCell="1" allowOverlap="1" wp14:anchorId="406AFBB5" wp14:editId="63471689">
                <wp:simplePos x="0" y="0"/>
                <wp:positionH relativeFrom="column">
                  <wp:posOffset>457199</wp:posOffset>
                </wp:positionH>
                <wp:positionV relativeFrom="paragraph">
                  <wp:posOffset>342900</wp:posOffset>
                </wp:positionV>
                <wp:extent cx="0" cy="457200"/>
                <wp:effectExtent l="76200" t="0" r="57150" b="57150"/>
                <wp:wrapNone/>
                <wp:docPr id="144" name="Straight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 o:spid="_x0000_s1026" style="position:absolute;flip:x;z-index:251567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pt,27pt" to="36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639808" behindDoc="0" locked="0" layoutInCell="1" allowOverlap="1" wp14:anchorId="3938600F" wp14:editId="42C9F491">
                <wp:simplePos x="0" y="0"/>
                <wp:positionH relativeFrom="column">
                  <wp:posOffset>2857500</wp:posOffset>
                </wp:positionH>
                <wp:positionV relativeFrom="paragraph">
                  <wp:posOffset>7543800</wp:posOffset>
                </wp:positionV>
                <wp:extent cx="685800" cy="342900"/>
                <wp:effectExtent l="0" t="0" r="19050" b="19050"/>
                <wp:wrapNone/>
                <wp:docPr id="143" name="e5520ab5682b461db432a50461ecf70b"/>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FFFFFF"/>
                          </a:solidFill>
                          <a:miter lim="800000"/>
                          <a:headEnd/>
                          <a:tailEnd/>
                        </a:ln>
                      </wps:spPr>
                      <wps:txbx>
                        <w:txbxContent>
                          <w:p w:rsidR="002D610B" w:rsidRPr="000C7AAA" w:rsidRDefault="002D610B" w:rsidP="00BF6ACB">
                            <w:pPr>
                              <w:jc w:val="right"/>
                              <w:rPr>
                                <w:sz w:val="14"/>
                                <w:szCs w:val="14"/>
                              </w:rPr>
                            </w:pPr>
                            <w:r>
                              <w:rPr>
                                <w:sz w:val="14"/>
                              </w:rPr>
                              <w:t>3 üzleti nap</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5520ab5682b461db432a50461ecf70b" o:spid="_x0000_s1057" type="#_x0000_t202" style="position:absolute;margin-left:225pt;margin-top:594pt;width:54pt;height:27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" strokecolor="white">
                <v:textbox inset="3.6pt,,3.6pt">
                  <w:txbxContent>
                    <w:p w:rsidR="002D610B" w:rsidRPr="000C7AAA" w:rsidRDefault="002D610B" w:rsidP="00BF6ACB">
                      <w:pPr>
                        <w:jc w:val="right"/>
                        <w:rPr>
                          <w:sz w:val="14"/>
                          <w:szCs w:val="14"/>
                        </w:rPr>
                      </w:pPr>
                      <w:r>
                        <w:rPr>
                          <w:sz w:val="14"/>
                        </w:rPr>
                        <w:t>3 üzleti nap</w:t>
                      </w:r>
                    </w:p>
                  </w:txbxContent>
                </v:textbox>
              </v:shape>
            </w:pict>
          </mc:Fallback>
        </mc:AlternateContent>
      </w:r>
      <w:r>
        <w:rPr>
          <w:rFonts w:asciiTheme="minorHAnsi" w:hAnsiTheme="minorHAnsi"/>
          <w:noProof/>
          <w:lang w:bidi="ar-SA"/>
        </w:rPr>
        <mc:AlternateContent>
          <mc:Choice Requires="wps">
            <w:drawing>
              <wp:anchor distT="0" distB="0" distL="114298" distR="114298" simplePos="0" relativeHeight="251612160" behindDoc="0" locked="0" layoutInCell="1" allowOverlap="1" wp14:anchorId="58B845B3" wp14:editId="3056DADD">
                <wp:simplePos x="0" y="0"/>
                <wp:positionH relativeFrom="column">
                  <wp:posOffset>5029199</wp:posOffset>
                </wp:positionH>
                <wp:positionV relativeFrom="paragraph">
                  <wp:posOffset>3200400</wp:posOffset>
                </wp:positionV>
                <wp:extent cx="0" cy="571500"/>
                <wp:effectExtent l="76200" t="0" r="57150" b="57150"/>
                <wp:wrapNone/>
                <wp:docPr id="142" name="Straight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 o:spid="_x0000_s1026" style="position:absolute;z-index:251612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6pt,252pt" to="396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">
                <v:stroke endarrow="block"/>
              </v:line>
            </w:pict>
          </mc:Fallback>
        </mc:AlternateContent>
      </w:r>
      <w:r>
        <w:rPr>
          <w:rFonts w:asciiTheme="minorHAnsi" w:hAnsiTheme="minorHAnsi"/>
          <w:noProof/>
          <w:lang w:bidi="ar-SA"/>
        </w:rPr>
        <mc:AlternateContent>
          <mc:Choice Requires="wps">
            <w:drawing>
              <wp:anchor distT="0" distB="0" distL="114298" distR="114298" simplePos="0" relativeHeight="251613184" behindDoc="0" locked="0" layoutInCell="1" allowOverlap="1" wp14:anchorId="0F172D46" wp14:editId="073099DE">
                <wp:simplePos x="0" y="0"/>
                <wp:positionH relativeFrom="column">
                  <wp:posOffset>4000499</wp:posOffset>
                </wp:positionH>
                <wp:positionV relativeFrom="paragraph">
                  <wp:posOffset>3200400</wp:posOffset>
                </wp:positionV>
                <wp:extent cx="0" cy="571500"/>
                <wp:effectExtent l="76200" t="0" r="57150" b="57150"/>
                <wp:wrapNone/>
                <wp:docPr id="141"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 o:spid="_x0000_s1026" style="position:absolute;flip:x;z-index:251613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5pt,252pt" to="31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611136" behindDoc="0" locked="0" layoutInCell="1" allowOverlap="1" wp14:anchorId="6E8B9F67" wp14:editId="7D6F36BD">
                <wp:simplePos x="0" y="0"/>
                <wp:positionH relativeFrom="column">
                  <wp:posOffset>1143000</wp:posOffset>
                </wp:positionH>
                <wp:positionV relativeFrom="paragraph">
                  <wp:posOffset>3200400</wp:posOffset>
                </wp:positionV>
                <wp:extent cx="685800" cy="228600"/>
                <wp:effectExtent l="38100" t="0" r="19050" b="76200"/>
                <wp:wrapNone/>
                <wp:docPr id="140"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 o:spid="_x0000_s1026" style="position:absolute;flip:x;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252pt" to="2in,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">
                <v:stroke endarrow="block"/>
              </v:line>
            </w:pict>
          </mc:Fallback>
        </mc:AlternateContent>
      </w:r>
      <w:r>
        <w:rPr>
          <w:rFonts w:asciiTheme="minorHAnsi" w:hAnsiTheme="minorHAnsi"/>
          <w:noProof/>
          <w:lang w:bidi="ar-SA"/>
        </w:rPr>
        <mc:AlternateContent>
          <mc:Choice Requires="wps">
            <w:drawing>
              <wp:anchor distT="0" distB="0" distL="114298" distR="114298" simplePos="0" relativeHeight="251602944" behindDoc="0" locked="0" layoutInCell="1" allowOverlap="1" wp14:anchorId="2E93E852" wp14:editId="7B446EC6">
                <wp:simplePos x="0" y="0"/>
                <wp:positionH relativeFrom="column">
                  <wp:posOffset>800099</wp:posOffset>
                </wp:positionH>
                <wp:positionV relativeFrom="paragraph">
                  <wp:posOffset>1828800</wp:posOffset>
                </wp:positionV>
                <wp:extent cx="0" cy="457200"/>
                <wp:effectExtent l="76200" t="0" r="57150" b="57150"/>
                <wp:wrapNone/>
                <wp:docPr id="139"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 o:spid="_x0000_s1026" style="position:absolute;z-index:251602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pt,2in" to="63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564032" behindDoc="0" locked="0" layoutInCell="1" allowOverlap="1" wp14:anchorId="0B5A8BBB" wp14:editId="2BAF4AB2">
                <wp:simplePos x="0" y="0"/>
                <wp:positionH relativeFrom="column">
                  <wp:posOffset>3657600</wp:posOffset>
                </wp:positionH>
                <wp:positionV relativeFrom="paragraph">
                  <wp:posOffset>457200</wp:posOffset>
                </wp:positionV>
                <wp:extent cx="685800" cy="342900"/>
                <wp:effectExtent l="38100" t="0" r="19050" b="57150"/>
                <wp:wrapNone/>
                <wp:docPr id="138"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 o:spid="_x0000_s1026" style="position:absolute;flip:x;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36pt" to="34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600896" behindDoc="0" locked="0" layoutInCell="1" allowOverlap="1" wp14:anchorId="7ED14642" wp14:editId="3D8149A3">
                <wp:simplePos x="0" y="0"/>
                <wp:positionH relativeFrom="column">
                  <wp:posOffset>3314700</wp:posOffset>
                </wp:positionH>
                <wp:positionV relativeFrom="paragraph">
                  <wp:posOffset>1028700</wp:posOffset>
                </wp:positionV>
                <wp:extent cx="1371600" cy="457200"/>
                <wp:effectExtent l="0" t="0" r="76200" b="76200"/>
                <wp:wrapNone/>
                <wp:docPr id="137"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81pt" to="369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">
                <v:stroke endarrow="block"/>
              </v:line>
            </w:pict>
          </mc:Fallback>
        </mc:AlternateContent>
      </w:r>
      <w:r>
        <w:rPr>
          <w:rFonts w:asciiTheme="minorHAnsi" w:hAnsiTheme="minorHAnsi"/>
          <w:noProof/>
          <w:lang w:bidi="ar-SA"/>
        </w:rPr>
        <mc:AlternateContent>
          <mc:Choice Requires="wps">
            <w:drawing>
              <wp:anchor distT="0" distB="0" distL="114298" distR="114298" simplePos="0" relativeHeight="251599872" behindDoc="0" locked="0" layoutInCell="1" allowOverlap="1" wp14:anchorId="23F2CF34" wp14:editId="3503C154">
                <wp:simplePos x="0" y="0"/>
                <wp:positionH relativeFrom="column">
                  <wp:posOffset>2743199</wp:posOffset>
                </wp:positionH>
                <wp:positionV relativeFrom="paragraph">
                  <wp:posOffset>1028700</wp:posOffset>
                </wp:positionV>
                <wp:extent cx="0" cy="457200"/>
                <wp:effectExtent l="76200" t="0" r="57150" b="57150"/>
                <wp:wrapNone/>
                <wp:docPr id="136" name="Straight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 o:spid="_x0000_s1026" style="position:absolute;z-index:251599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in,81pt" to="3in,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598848" behindDoc="0" locked="0" layoutInCell="1" allowOverlap="1" wp14:anchorId="6C1C7946" wp14:editId="1B655064">
                <wp:simplePos x="0" y="0"/>
                <wp:positionH relativeFrom="column">
                  <wp:posOffset>1028700</wp:posOffset>
                </wp:positionH>
                <wp:positionV relativeFrom="paragraph">
                  <wp:posOffset>1028700</wp:posOffset>
                </wp:positionV>
                <wp:extent cx="1257300" cy="457200"/>
                <wp:effectExtent l="38100" t="0" r="19050" b="76200"/>
                <wp:wrapNone/>
                <wp:docPr id="135"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 o:spid="_x0000_s1026" style="position:absolute;flip:x;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81pt" to="180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">
                <v:stroke endarrow="block"/>
              </v:line>
            </w:pict>
          </mc:Fallback>
        </mc:AlternateContent>
      </w:r>
      <w:r>
        <w:rPr>
          <w:rFonts w:asciiTheme="minorHAnsi" w:hAnsiTheme="minorHAnsi"/>
          <w:noProof/>
          <w:lang w:bidi="ar-SA"/>
        </w:rPr>
        <mc:AlternateContent>
          <mc:Choice Requires="wps">
            <w:drawing>
              <wp:anchor distT="0" distB="0" distL="114298" distR="114298" simplePos="0" relativeHeight="251637760" behindDoc="0" locked="0" layoutInCell="1" allowOverlap="1" wp14:anchorId="18C9DDA1" wp14:editId="1348200A">
                <wp:simplePos x="0" y="0"/>
                <wp:positionH relativeFrom="column">
                  <wp:posOffset>2400299</wp:posOffset>
                </wp:positionH>
                <wp:positionV relativeFrom="paragraph">
                  <wp:posOffset>5829300</wp:posOffset>
                </wp:positionV>
                <wp:extent cx="0" cy="457200"/>
                <wp:effectExtent l="76200" t="0" r="57150" b="57150"/>
                <wp:wrapNone/>
                <wp:docPr id="134"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6" o:spid="_x0000_s1026" style="position:absolute;z-index:251637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9pt,459pt" to="18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586560" behindDoc="0" locked="0" layoutInCell="1" allowOverlap="1" wp14:anchorId="5101DC19" wp14:editId="4F659B53">
                <wp:simplePos x="0" y="0"/>
                <wp:positionH relativeFrom="column">
                  <wp:posOffset>1828800</wp:posOffset>
                </wp:positionH>
                <wp:positionV relativeFrom="paragraph">
                  <wp:posOffset>5486400</wp:posOffset>
                </wp:positionV>
                <wp:extent cx="1371600" cy="342900"/>
                <wp:effectExtent l="0" t="0" r="19050" b="19050"/>
                <wp:wrapNone/>
                <wp:docPr id="133" name="928b9c4f920a40fd994913787f4af6a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2D610B" w:rsidRPr="009C1AD7" w:rsidRDefault="002D610B" w:rsidP="00BF6ACB">
                            <w:pPr>
                              <w:jc w:val="both"/>
                              <w:rPr>
                                <w:sz w:val="16"/>
                                <w:szCs w:val="16"/>
                              </w:rPr>
                            </w:pPr>
                            <w:r>
                              <w:rPr>
                                <w:sz w:val="16"/>
                              </w:rPr>
                              <w:t>A tárgyalások lezárása, a bíróság tájékoztatása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928b9c4f920a40fd994913787f4af6ae" o:spid="_x0000_s1058" type="#_x0000_t202" style="position:absolute;margin-left:2in;margin-top:6in;width:108pt;height:27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">
                <v:textbox>
                  <w:txbxContent>
                    <w:p w:rsidR="002D610B" w:rsidRPr="009C1AD7" w:rsidRDefault="002D610B" w:rsidP="00BF6ACB">
                      <w:pPr>
                        <w:jc w:val="both"/>
                        <w:rPr>
                          <w:sz w:val="16"/>
                          <w:szCs w:val="16"/>
                        </w:rPr>
                      </w:pPr>
                      <w:r>
                        <w:rPr>
                          <w:sz w:val="16"/>
                        </w:rPr>
                        <w:t>A tárgyalások lezárása, a bíróság tájékoztatása</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636736" behindDoc="0" locked="0" layoutInCell="1" allowOverlap="1" wp14:anchorId="08049CBE" wp14:editId="33FDD37B">
                <wp:simplePos x="0" y="0"/>
                <wp:positionH relativeFrom="column">
                  <wp:posOffset>2514600</wp:posOffset>
                </wp:positionH>
                <wp:positionV relativeFrom="paragraph">
                  <wp:posOffset>5943600</wp:posOffset>
                </wp:positionV>
                <wp:extent cx="914400" cy="228600"/>
                <wp:effectExtent l="0" t="0" r="19050" b="19050"/>
                <wp:wrapNone/>
                <wp:docPr id="132" name="3486da1e8acb4eadbf4a0991d43343d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FFFFFF"/>
                          </a:solidFill>
                          <a:miter lim="800000"/>
                          <a:headEnd/>
                          <a:tailEnd/>
                        </a:ln>
                      </wps:spPr>
                      <wps:txbx>
                        <w:txbxContent>
                          <w:p w:rsidR="002D610B" w:rsidRPr="000C7AAA" w:rsidRDefault="002D610B" w:rsidP="00BF6ACB">
                            <w:pPr>
                              <w:rPr>
                                <w:sz w:val="14"/>
                                <w:szCs w:val="14"/>
                              </w:rPr>
                            </w:pPr>
                            <w:r>
                              <w:rPr>
                                <w:sz w:val="14"/>
                              </w:rPr>
                              <w:t>8 üzleti nap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3486da1e8acb4eadbf4a0991d43343d3" o:spid="_x0000_s1059" type="#_x0000_t202" style="position:absolute;margin-left:198pt;margin-top:468pt;width:1in;height:1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" strokecolor="white">
                <v:textbox>
                  <w:txbxContent>
                    <w:p w:rsidR="002D610B" w:rsidRPr="000C7AAA" w:rsidRDefault="002D610B" w:rsidP="00BF6ACB">
                      <w:pPr>
                        <w:rPr>
                          <w:sz w:val="14"/>
                          <w:szCs w:val="14"/>
                        </w:rPr>
                      </w:pPr>
                      <w:r>
                        <w:rPr>
                          <w:sz w:val="14"/>
                        </w:rPr>
                        <w:t>8 üzleti nap</w:t>
                      </w:r>
                    </w:p>
                  </w:txbxContent>
                </v:textbox>
              </v:shape>
            </w:pict>
          </mc:Fallback>
        </mc:AlternateContent>
      </w:r>
      <w:r>
        <w:rPr>
          <w:rFonts w:asciiTheme="minorHAnsi" w:hAnsiTheme="minorHAnsi"/>
          <w:noProof/>
          <w:lang w:bidi="ar-SA"/>
        </w:rPr>
        <mc:AlternateContent>
          <mc:Choice Requires="wps">
            <w:drawing>
              <wp:anchor distT="4294967294" distB="4294967294" distL="114300" distR="114300" simplePos="0" relativeHeight="251654144" behindDoc="0" locked="0" layoutInCell="1" allowOverlap="1" wp14:anchorId="2BA6E0D7" wp14:editId="3C0C52B3">
                <wp:simplePos x="0" y="0"/>
                <wp:positionH relativeFrom="column">
                  <wp:posOffset>114300</wp:posOffset>
                </wp:positionH>
                <wp:positionV relativeFrom="paragraph">
                  <wp:posOffset>8572499</wp:posOffset>
                </wp:positionV>
                <wp:extent cx="4572000" cy="0"/>
                <wp:effectExtent l="0" t="0" r="19050" b="19050"/>
                <wp:wrapNone/>
                <wp:docPr id="131"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pt,675pt" to="36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"/>
            </w:pict>
          </mc:Fallback>
        </mc:AlternateContent>
      </w:r>
      <w:r>
        <w:rPr>
          <w:rFonts w:asciiTheme="minorHAnsi" w:hAnsiTheme="minorHAnsi"/>
          <w:noProof/>
          <w:lang w:bidi="ar-SA"/>
        </w:rPr>
        <mc:AlternateContent>
          <mc:Choice Requires="wps">
            <w:drawing>
              <wp:anchor distT="0" distB="0" distL="114298" distR="114298" simplePos="0" relativeHeight="251652096" behindDoc="0" locked="0" layoutInCell="1" allowOverlap="1" wp14:anchorId="3FCD7884" wp14:editId="4895317A">
                <wp:simplePos x="0" y="0"/>
                <wp:positionH relativeFrom="column">
                  <wp:posOffset>114299</wp:posOffset>
                </wp:positionH>
                <wp:positionV relativeFrom="paragraph">
                  <wp:posOffset>6172200</wp:posOffset>
                </wp:positionV>
                <wp:extent cx="0" cy="2400300"/>
                <wp:effectExtent l="0" t="0" r="19050" b="19050"/>
                <wp:wrapNone/>
                <wp:docPr id="130"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652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pt,486pt" to="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"/>
            </w:pict>
          </mc:Fallback>
        </mc:AlternateContent>
      </w:r>
      <w:r>
        <w:rPr>
          <w:rFonts w:asciiTheme="minorHAnsi" w:hAnsiTheme="minorHAnsi"/>
          <w:noProof/>
          <w:lang w:bidi="ar-SA"/>
        </w:rPr>
        <mc:AlternateContent>
          <mc:Choice Requires="wps">
            <w:drawing>
              <wp:anchor distT="0" distB="0" distL="114298" distR="114298" simplePos="0" relativeHeight="251648000" behindDoc="0" locked="0" layoutInCell="1" allowOverlap="1" wp14:anchorId="1E97E0C7" wp14:editId="4396E266">
                <wp:simplePos x="0" y="0"/>
                <wp:positionH relativeFrom="column">
                  <wp:posOffset>3314699</wp:posOffset>
                </wp:positionH>
                <wp:positionV relativeFrom="paragraph">
                  <wp:posOffset>4114800</wp:posOffset>
                </wp:positionV>
                <wp:extent cx="0" cy="1028700"/>
                <wp:effectExtent l="76200" t="38100" r="57150" b="19050"/>
                <wp:wrapNone/>
                <wp:docPr id="129"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flip:y;z-index:251648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1pt,324pt" to="26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645952" behindDoc="0" locked="0" layoutInCell="1" allowOverlap="1" wp14:anchorId="0E782E10" wp14:editId="338BC879">
                <wp:simplePos x="0" y="0"/>
                <wp:positionH relativeFrom="column">
                  <wp:posOffset>3314700</wp:posOffset>
                </wp:positionH>
                <wp:positionV relativeFrom="paragraph">
                  <wp:posOffset>5143500</wp:posOffset>
                </wp:positionV>
                <wp:extent cx="114300" cy="228600"/>
                <wp:effectExtent l="0" t="0" r="19050" b="19050"/>
                <wp:wrapNone/>
                <wp:docPr id="128" name="Straight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0"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405pt" to="270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"/>
            </w:pict>
          </mc:Fallback>
        </mc:AlternateContent>
      </w:r>
      <w:r>
        <w:rPr>
          <w:rFonts w:asciiTheme="minorHAnsi" w:hAnsiTheme="minorHAnsi"/>
          <w:noProof/>
          <w:lang w:bidi="ar-SA"/>
        </w:rPr>
        <mc:AlternateContent>
          <mc:Choice Requires="wps">
            <w:drawing>
              <wp:anchor distT="4294967294" distB="4294967294" distL="114300" distR="114300" simplePos="0" relativeHeight="251643904" behindDoc="0" locked="0" layoutInCell="1" allowOverlap="1" wp14:anchorId="14968754" wp14:editId="6DD24BEC">
                <wp:simplePos x="0" y="0"/>
                <wp:positionH relativeFrom="column">
                  <wp:posOffset>2286000</wp:posOffset>
                </wp:positionH>
                <wp:positionV relativeFrom="paragraph">
                  <wp:posOffset>8458199</wp:posOffset>
                </wp:positionV>
                <wp:extent cx="3200400" cy="0"/>
                <wp:effectExtent l="0" t="0" r="19050" b="19050"/>
                <wp:wrapNone/>
                <wp:docPr id="12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643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pt,666pt" to="6in,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"/>
            </w:pict>
          </mc:Fallback>
        </mc:AlternateContent>
      </w:r>
      <w:r>
        <w:rPr>
          <w:rFonts w:asciiTheme="minorHAnsi" w:hAnsiTheme="minorHAnsi"/>
          <w:noProof/>
          <w:lang w:bidi="ar-SA"/>
        </w:rPr>
        <mc:AlternateContent>
          <mc:Choice Requires="wps">
            <w:drawing>
              <wp:anchor distT="0" distB="0" distL="114298" distR="114298" simplePos="0" relativeHeight="251642880" behindDoc="0" locked="0" layoutInCell="1" allowOverlap="1" wp14:anchorId="37B79598" wp14:editId="18F2C19C">
                <wp:simplePos x="0" y="0"/>
                <wp:positionH relativeFrom="column">
                  <wp:posOffset>2285999</wp:posOffset>
                </wp:positionH>
                <wp:positionV relativeFrom="paragraph">
                  <wp:posOffset>8229600</wp:posOffset>
                </wp:positionV>
                <wp:extent cx="0" cy="228600"/>
                <wp:effectExtent l="0" t="0" r="19050" b="19050"/>
                <wp:wrapNone/>
                <wp:docPr id="12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6428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0pt,9in" to="18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"/>
            </w:pict>
          </mc:Fallback>
        </mc:AlternateContent>
      </w:r>
      <w:r>
        <w:rPr>
          <w:rFonts w:asciiTheme="minorHAnsi" w:hAnsiTheme="minorHAnsi"/>
          <w:noProof/>
          <w:lang w:bidi="ar-SA"/>
        </w:rPr>
        <mc:AlternateContent>
          <mc:Choice Requires="wps">
            <w:drawing>
              <wp:anchor distT="0" distB="0" distL="114298" distR="114298" simplePos="0" relativeHeight="251641856" behindDoc="0" locked="0" layoutInCell="1" allowOverlap="1" wp14:anchorId="33FA4BE6" wp14:editId="243E824F">
                <wp:simplePos x="0" y="0"/>
                <wp:positionH relativeFrom="column">
                  <wp:posOffset>4457699</wp:posOffset>
                </wp:positionH>
                <wp:positionV relativeFrom="paragraph">
                  <wp:posOffset>7886700</wp:posOffset>
                </wp:positionV>
                <wp:extent cx="0" cy="228600"/>
                <wp:effectExtent l="76200" t="38100" r="57150" b="19050"/>
                <wp:wrapNone/>
                <wp:docPr id="12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flip:y;z-index:251641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1pt,621pt" to="351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">
                <v:stroke endarrow="block"/>
              </v:line>
            </w:pict>
          </mc:Fallback>
        </mc:AlternateContent>
      </w:r>
      <w:r>
        <w:rPr>
          <w:rFonts w:asciiTheme="minorHAnsi" w:hAnsiTheme="minorHAnsi"/>
          <w:noProof/>
          <w:lang w:bidi="ar-SA"/>
        </w:rPr>
        <mc:AlternateContent>
          <mc:Choice Requires="wps">
            <w:drawing>
              <wp:anchor distT="4294967294" distB="4294967294" distL="114300" distR="114300" simplePos="0" relativeHeight="251640832" behindDoc="0" locked="0" layoutInCell="1" allowOverlap="1" wp14:anchorId="0D19DCAE" wp14:editId="3433B9BB">
                <wp:simplePos x="0" y="0"/>
                <wp:positionH relativeFrom="column">
                  <wp:posOffset>3771900</wp:posOffset>
                </wp:positionH>
                <wp:positionV relativeFrom="paragraph">
                  <wp:posOffset>8115299</wp:posOffset>
                </wp:positionV>
                <wp:extent cx="685800" cy="0"/>
                <wp:effectExtent l="0" t="0" r="19050" b="19050"/>
                <wp:wrapNone/>
                <wp:docPr id="12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640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7pt,639pt" to="351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yMHHg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"/>
            </w:pict>
          </mc:Fallback>
        </mc:AlternateContent>
      </w:r>
      <w:r>
        <w:rPr>
          <w:rFonts w:asciiTheme="minorHAnsi" w:hAnsiTheme="minorHAnsi"/>
          <w:noProof/>
          <w:lang w:bidi="ar-SA"/>
        </w:rPr>
        <mc:AlternateContent>
          <mc:Choice Requires="wps">
            <w:drawing>
              <wp:anchor distT="0" distB="0" distL="114300" distR="114300" simplePos="0" relativeHeight="251635712" behindDoc="0" locked="0" layoutInCell="1" allowOverlap="1" wp14:anchorId="3F690F74" wp14:editId="3C82AAC9">
                <wp:simplePos x="0" y="0"/>
                <wp:positionH relativeFrom="column">
                  <wp:posOffset>571500</wp:posOffset>
                </wp:positionH>
                <wp:positionV relativeFrom="paragraph">
                  <wp:posOffset>5029200</wp:posOffset>
                </wp:positionV>
                <wp:extent cx="914400" cy="114300"/>
                <wp:effectExtent l="0" t="0" r="19050" b="19050"/>
                <wp:wrapNone/>
                <wp:docPr id="123" name="c9a7051c9cbf40168899931ca079beaf"/>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14300"/>
                        </a:xfrm>
                        <a:prstGeom prst="rect">
                          <a:avLst/>
                        </a:prstGeom>
                        <a:solidFill>
                          <a:srgbClr val="FFFFFF"/>
                        </a:solidFill>
                        <a:ln w="9525">
                          <a:solidFill>
                            <a:srgbClr val="FFFFFF"/>
                          </a:solidFill>
                          <a:miter lim="800000"/>
                          <a:headEnd/>
                          <a:tailEnd/>
                        </a:ln>
                      </wps:spPr>
                      <wps:txbx>
                        <w:txbxContent>
                          <w:p w:rsidR="002D610B" w:rsidRPr="000C7AAA" w:rsidRDefault="002D610B" w:rsidP="00BF6ACB">
                            <w:pPr>
                              <w:rPr>
                                <w:sz w:val="14"/>
                                <w:szCs w:val="14"/>
                              </w:rPr>
                            </w:pPr>
                            <w:r>
                              <w:rPr>
                                <w:sz w:val="14"/>
                              </w:rPr>
                              <w:t>5 üzleti nap</w:t>
                            </w:r>
                          </w:p>
                        </w:txbxContent>
                      </wps:txbx>
                      <wps:bodyPr rot="0" vert="horz" wrap="square" lIns="91440" tIns="9144" rIns="91440" bIns="9144" anchor="t" anchorCtr="0" upright="1">
                        <a:noAutofit/>
                      </wps:bodyPr>
                    </wps:wsp>
                  </a:graphicData>
                </a:graphic>
                <wp14:sizeRelH relativeFrom="page">
                  <wp14:pctWidth>0</wp14:pctWidth>
                </wp14:sizeRelH>
                <wp14:sizeRelV relativeFrom="page">
                  <wp14:pctHeight>0</wp14:pctHeight>
                </wp14:sizeRelV>
              </wp:anchor>
            </w:drawing>
          </mc:Choice>
          <mc:Fallback>
            <w:pict>
              <v:shape id="c9a7051c9cbf40168899931ca079beaf" o:spid="_x0000_s1060" type="#_x0000_t202" style="position:absolute;margin-left:45pt;margin-top:396pt;width:1in;height: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" strokecolor="white">
                <v:textbox inset=",.72pt,,.72pt">
                  <w:txbxContent>
                    <w:p w:rsidR="002D610B" w:rsidRPr="000C7AAA" w:rsidRDefault="002D610B" w:rsidP="00BF6ACB">
                      <w:pPr>
                        <w:rPr>
                          <w:sz w:val="14"/>
                          <w:szCs w:val="14"/>
                        </w:rPr>
                      </w:pPr>
                      <w:r>
                        <w:rPr>
                          <w:sz w:val="14"/>
                        </w:rPr>
                        <w:t>5 üzleti nap</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634688" behindDoc="0" locked="0" layoutInCell="1" allowOverlap="1" wp14:anchorId="7BDEAC18" wp14:editId="287D1513">
                <wp:simplePos x="0" y="0"/>
                <wp:positionH relativeFrom="column">
                  <wp:posOffset>800100</wp:posOffset>
                </wp:positionH>
                <wp:positionV relativeFrom="paragraph">
                  <wp:posOffset>5486400</wp:posOffset>
                </wp:positionV>
                <wp:extent cx="228600" cy="457200"/>
                <wp:effectExtent l="0" t="0" r="57150" b="57150"/>
                <wp:wrapNone/>
                <wp:docPr id="122"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in" to="81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633664" behindDoc="0" locked="0" layoutInCell="1" allowOverlap="1" wp14:anchorId="619E3339" wp14:editId="0D1FE9D3">
                <wp:simplePos x="0" y="0"/>
                <wp:positionH relativeFrom="column">
                  <wp:posOffset>114300</wp:posOffset>
                </wp:positionH>
                <wp:positionV relativeFrom="paragraph">
                  <wp:posOffset>5486400</wp:posOffset>
                </wp:positionV>
                <wp:extent cx="228600" cy="457200"/>
                <wp:effectExtent l="38100" t="0" r="19050" b="57150"/>
                <wp:wrapNone/>
                <wp:docPr id="121"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in" to="27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">
                <v:stroke endarrow="block"/>
              </v:line>
            </w:pict>
          </mc:Fallback>
        </mc:AlternateContent>
      </w:r>
      <w:r>
        <w:rPr>
          <w:rFonts w:asciiTheme="minorHAnsi" w:hAnsiTheme="minorHAnsi"/>
          <w:noProof/>
          <w:lang w:bidi="ar-SA"/>
        </w:rPr>
        <mc:AlternateContent>
          <mc:Choice Requires="wps">
            <w:drawing>
              <wp:anchor distT="0" distB="0" distL="114298" distR="114298" simplePos="0" relativeHeight="251632640" behindDoc="0" locked="0" layoutInCell="1" allowOverlap="1" wp14:anchorId="1C5A0E82" wp14:editId="45EB564F">
                <wp:simplePos x="0" y="0"/>
                <wp:positionH relativeFrom="column">
                  <wp:posOffset>457199</wp:posOffset>
                </wp:positionH>
                <wp:positionV relativeFrom="paragraph">
                  <wp:posOffset>4914900</wp:posOffset>
                </wp:positionV>
                <wp:extent cx="0" cy="342900"/>
                <wp:effectExtent l="76200" t="0" r="76200" b="57150"/>
                <wp:wrapNone/>
                <wp:docPr id="120"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9" o:spid="_x0000_s1026" style="position:absolute;z-index:251632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pt,387pt" to="36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pgoNAIAAFoEAAAOAAAAZHJzL2Uyb0RvYy54bWysVMGO2jAQvVfqP1i+QxI2U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627520" behindDoc="0" locked="0" layoutInCell="1" allowOverlap="1" wp14:anchorId="705B00AB" wp14:editId="6E359681">
                <wp:simplePos x="0" y="0"/>
                <wp:positionH relativeFrom="column">
                  <wp:posOffset>5143500</wp:posOffset>
                </wp:positionH>
                <wp:positionV relativeFrom="paragraph">
                  <wp:posOffset>6286500</wp:posOffset>
                </wp:positionV>
                <wp:extent cx="457200" cy="342900"/>
                <wp:effectExtent l="0" t="0" r="57150" b="57150"/>
                <wp:wrapNone/>
                <wp:docPr id="119"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4"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495pt" to="441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">
                <v:stroke endarrow="block"/>
              </v:line>
            </w:pict>
          </mc:Fallback>
        </mc:AlternateContent>
      </w:r>
      <w:r>
        <w:rPr>
          <w:rFonts w:asciiTheme="minorHAnsi" w:hAnsiTheme="minorHAnsi"/>
          <w:noProof/>
          <w:lang w:bidi="ar-SA"/>
        </w:rPr>
        <mc:AlternateContent>
          <mc:Choice Requires="wps">
            <w:drawing>
              <wp:anchor distT="0" distB="0" distL="114298" distR="114298" simplePos="0" relativeHeight="251625472" behindDoc="0" locked="0" layoutInCell="1" allowOverlap="1" wp14:anchorId="18DBD2C5" wp14:editId="44318571">
                <wp:simplePos x="0" y="0"/>
                <wp:positionH relativeFrom="column">
                  <wp:posOffset>2400299</wp:posOffset>
                </wp:positionH>
                <wp:positionV relativeFrom="paragraph">
                  <wp:posOffset>5029200</wp:posOffset>
                </wp:positionV>
                <wp:extent cx="0" cy="457200"/>
                <wp:effectExtent l="76200" t="0" r="57150" b="57150"/>
                <wp:wrapNone/>
                <wp:docPr id="118"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2" o:spid="_x0000_s1026" style="position:absolute;z-index:2516254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89pt,396pt" to="189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">
                <v:stroke endarrow="block"/>
              </v:line>
            </w:pict>
          </mc:Fallback>
        </mc:AlternateContent>
      </w:r>
      <w:r>
        <w:rPr>
          <w:rFonts w:asciiTheme="minorHAnsi" w:hAnsiTheme="minorHAnsi"/>
          <w:noProof/>
          <w:lang w:bidi="ar-SA"/>
        </w:rPr>
        <mc:AlternateContent>
          <mc:Choice Requires="wps">
            <w:drawing>
              <wp:anchor distT="0" distB="0" distL="114298" distR="114298" simplePos="0" relativeHeight="251624448" behindDoc="0" locked="0" layoutInCell="1" allowOverlap="1" wp14:anchorId="3AD90A88" wp14:editId="3375CC03">
                <wp:simplePos x="0" y="0"/>
                <wp:positionH relativeFrom="column">
                  <wp:posOffset>3771899</wp:posOffset>
                </wp:positionH>
                <wp:positionV relativeFrom="paragraph">
                  <wp:posOffset>4914900</wp:posOffset>
                </wp:positionV>
                <wp:extent cx="0" cy="457200"/>
                <wp:effectExtent l="76200" t="0" r="57150" b="57150"/>
                <wp:wrapNone/>
                <wp:docPr id="117"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1" o:spid="_x0000_s1026" style="position:absolute;z-index:251624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7pt,387pt" to="297pt,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">
                <v:stroke endarrow="block"/>
              </v:line>
            </w:pict>
          </mc:Fallback>
        </mc:AlternateContent>
      </w:r>
      <w:r>
        <w:rPr>
          <w:rFonts w:asciiTheme="minorHAnsi" w:hAnsiTheme="minorHAnsi"/>
          <w:noProof/>
          <w:lang w:bidi="ar-SA"/>
        </w:rPr>
        <mc:AlternateContent>
          <mc:Choice Requires="wps">
            <w:drawing>
              <wp:anchor distT="0" distB="0" distL="114298" distR="114298" simplePos="0" relativeHeight="251623424" behindDoc="0" locked="0" layoutInCell="1" allowOverlap="1" wp14:anchorId="4920694E" wp14:editId="7B74A37C">
                <wp:simplePos x="0" y="0"/>
                <wp:positionH relativeFrom="column">
                  <wp:posOffset>5029199</wp:posOffset>
                </wp:positionH>
                <wp:positionV relativeFrom="paragraph">
                  <wp:posOffset>5600700</wp:posOffset>
                </wp:positionV>
                <wp:extent cx="0" cy="457200"/>
                <wp:effectExtent l="76200" t="0" r="57150" b="57150"/>
                <wp:wrapNone/>
                <wp:docPr id="116"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0" o:spid="_x0000_s1026" style="position:absolute;z-index:2516234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6pt,441pt" to="396pt,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">
                <v:stroke endarrow="block"/>
              </v:line>
            </w:pict>
          </mc:Fallback>
        </mc:AlternateContent>
      </w:r>
      <w:r>
        <w:rPr>
          <w:rFonts w:asciiTheme="minorHAnsi" w:hAnsiTheme="minorHAnsi"/>
          <w:noProof/>
          <w:lang w:bidi="ar-SA"/>
        </w:rPr>
        <mc:AlternateContent>
          <mc:Choice Requires="wps">
            <w:drawing>
              <wp:anchor distT="0" distB="0" distL="114298" distR="114298" simplePos="0" relativeHeight="251622400" behindDoc="0" locked="0" layoutInCell="1" allowOverlap="1" wp14:anchorId="44B0B732" wp14:editId="4A70C943">
                <wp:simplePos x="0" y="0"/>
                <wp:positionH relativeFrom="column">
                  <wp:posOffset>5029199</wp:posOffset>
                </wp:positionH>
                <wp:positionV relativeFrom="paragraph">
                  <wp:posOffset>4914900</wp:posOffset>
                </wp:positionV>
                <wp:extent cx="0" cy="342900"/>
                <wp:effectExtent l="76200" t="0" r="76200" b="57150"/>
                <wp:wrapNone/>
                <wp:docPr id="115"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9" o:spid="_x0000_s1026" style="position:absolute;z-index:251622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6pt,387pt" to="396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">
                <v:stroke endarrow="block"/>
              </v:line>
            </w:pict>
          </mc:Fallback>
        </mc:AlternateContent>
      </w:r>
      <w:r>
        <w:rPr>
          <w:rFonts w:asciiTheme="minorHAnsi" w:hAnsiTheme="minorHAnsi"/>
          <w:noProof/>
          <w:lang w:bidi="ar-SA"/>
        </w:rPr>
        <mc:AlternateContent>
          <mc:Choice Requires="wps">
            <w:drawing>
              <wp:anchor distT="0" distB="0" distL="114298" distR="114298" simplePos="0" relativeHeight="251619328" behindDoc="0" locked="0" layoutInCell="1" allowOverlap="1" wp14:anchorId="63E5EFD8" wp14:editId="072F2FE0">
                <wp:simplePos x="0" y="0"/>
                <wp:positionH relativeFrom="column">
                  <wp:posOffset>5029199</wp:posOffset>
                </wp:positionH>
                <wp:positionV relativeFrom="paragraph">
                  <wp:posOffset>4229100</wp:posOffset>
                </wp:positionV>
                <wp:extent cx="0" cy="342900"/>
                <wp:effectExtent l="76200" t="0" r="76200" b="57150"/>
                <wp:wrapNone/>
                <wp:docPr id="114"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1619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6pt,333pt" to="396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">
                <v:stroke endarrow="block"/>
              </v:line>
            </w:pict>
          </mc:Fallback>
        </mc:AlternateContent>
      </w:r>
      <w:r>
        <w:rPr>
          <w:rFonts w:asciiTheme="minorHAnsi" w:hAnsiTheme="minorHAnsi"/>
          <w:noProof/>
          <w:lang w:bidi="ar-SA"/>
        </w:rPr>
        <mc:AlternateContent>
          <mc:Choice Requires="wps">
            <w:drawing>
              <wp:anchor distT="0" distB="0" distL="114298" distR="114298" simplePos="0" relativeHeight="251617280" behindDoc="0" locked="0" layoutInCell="1" allowOverlap="1" wp14:anchorId="384C6843" wp14:editId="66489B8B">
                <wp:simplePos x="0" y="0"/>
                <wp:positionH relativeFrom="column">
                  <wp:posOffset>3771899</wp:posOffset>
                </wp:positionH>
                <wp:positionV relativeFrom="paragraph">
                  <wp:posOffset>4114800</wp:posOffset>
                </wp:positionV>
                <wp:extent cx="0" cy="457200"/>
                <wp:effectExtent l="76200" t="0" r="57150" b="57150"/>
                <wp:wrapNone/>
                <wp:docPr id="113"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1617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7pt,324pt" to="297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616256" behindDoc="0" locked="0" layoutInCell="1" allowOverlap="1" wp14:anchorId="0A840F19" wp14:editId="0743DF45">
                <wp:simplePos x="0" y="0"/>
                <wp:positionH relativeFrom="column">
                  <wp:posOffset>2743200</wp:posOffset>
                </wp:positionH>
                <wp:positionV relativeFrom="paragraph">
                  <wp:posOffset>4114800</wp:posOffset>
                </wp:positionV>
                <wp:extent cx="571500" cy="457200"/>
                <wp:effectExtent l="38100" t="0" r="19050" b="57150"/>
                <wp:wrapNone/>
                <wp:docPr id="112"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24pt" to="261pt,5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615232" behindDoc="0" locked="0" layoutInCell="1" allowOverlap="1" wp14:anchorId="51D8FB7C" wp14:editId="0C349E57">
                <wp:simplePos x="0" y="0"/>
                <wp:positionH relativeFrom="column">
                  <wp:posOffset>800100</wp:posOffset>
                </wp:positionH>
                <wp:positionV relativeFrom="paragraph">
                  <wp:posOffset>4114800</wp:posOffset>
                </wp:positionV>
                <wp:extent cx="800100" cy="342900"/>
                <wp:effectExtent l="38100" t="0" r="19050" b="57150"/>
                <wp:wrapNone/>
                <wp:docPr id="111"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324pt" to="126pt,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614208" behindDoc="0" locked="0" layoutInCell="1" allowOverlap="1" wp14:anchorId="59AB1E5C" wp14:editId="14B89674">
                <wp:simplePos x="0" y="0"/>
                <wp:positionH relativeFrom="column">
                  <wp:posOffset>2400300</wp:posOffset>
                </wp:positionH>
                <wp:positionV relativeFrom="paragraph">
                  <wp:posOffset>3200400</wp:posOffset>
                </wp:positionV>
                <wp:extent cx="1143000" cy="571500"/>
                <wp:effectExtent l="38100" t="0" r="19050" b="57150"/>
                <wp:wrapNone/>
                <wp:docPr id="110"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52pt" to="279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">
                <v:stroke endarrow="block"/>
              </v:line>
            </w:pict>
          </mc:Fallback>
        </mc:AlternateContent>
      </w:r>
      <w:r>
        <w:rPr>
          <w:rFonts w:asciiTheme="minorHAnsi" w:hAnsiTheme="minorHAnsi"/>
          <w:noProof/>
          <w:lang w:bidi="ar-SA"/>
        </w:rPr>
        <mc:AlternateContent>
          <mc:Choice Requires="wps">
            <w:drawing>
              <wp:anchor distT="0" distB="0" distL="114298" distR="114298" simplePos="0" relativeHeight="251609088" behindDoc="0" locked="0" layoutInCell="1" allowOverlap="1" wp14:anchorId="08708A41" wp14:editId="6074963C">
                <wp:simplePos x="0" y="0"/>
                <wp:positionH relativeFrom="column">
                  <wp:posOffset>4571999</wp:posOffset>
                </wp:positionH>
                <wp:positionV relativeFrom="paragraph">
                  <wp:posOffset>2400300</wp:posOffset>
                </wp:positionV>
                <wp:extent cx="0" cy="457200"/>
                <wp:effectExtent l="76200" t="0" r="57150" b="57150"/>
                <wp:wrapNone/>
                <wp:docPr id="109"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2" o:spid="_x0000_s1026" style="position:absolute;z-index:251609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in,189pt" to="5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608064" behindDoc="0" locked="0" layoutInCell="1" allowOverlap="1" wp14:anchorId="73B46598" wp14:editId="6AAA6457">
                <wp:simplePos x="0" y="0"/>
                <wp:positionH relativeFrom="column">
                  <wp:posOffset>4686300</wp:posOffset>
                </wp:positionH>
                <wp:positionV relativeFrom="paragraph">
                  <wp:posOffset>2514600</wp:posOffset>
                </wp:positionV>
                <wp:extent cx="800100" cy="228600"/>
                <wp:effectExtent l="0" t="0" r="19050" b="19050"/>
                <wp:wrapNone/>
                <wp:docPr id="108" name="5374af26e6c04bc587baf9447acf317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FFFFFF"/>
                          </a:solidFill>
                          <a:miter lim="800000"/>
                          <a:headEnd/>
                          <a:tailEnd/>
                        </a:ln>
                      </wps:spPr>
                      <wps:txbx>
                        <w:txbxContent>
                          <w:p w:rsidR="002D610B" w:rsidRPr="000C7AAA" w:rsidRDefault="002D610B" w:rsidP="00BF6ACB">
                            <w:pPr>
                              <w:rPr>
                                <w:sz w:val="14"/>
                                <w:szCs w:val="14"/>
                              </w:rPr>
                            </w:pPr>
                            <w:r>
                              <w:rPr>
                                <w:sz w:val="14"/>
                              </w:rPr>
                              <w:t>60 napon belül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374af26e6c04bc587baf9447acf317c" o:spid="_x0000_s1061" type="#_x0000_t202" style="position:absolute;margin-left:369pt;margin-top:198pt;width:63pt;height:18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" strokecolor="white">
                <v:textbox>
                  <w:txbxContent>
                    <w:p w:rsidR="002D610B" w:rsidRPr="000C7AAA" w:rsidRDefault="002D610B" w:rsidP="00BF6ACB">
                      <w:pPr>
                        <w:rPr>
                          <w:sz w:val="14"/>
                          <w:szCs w:val="14"/>
                        </w:rPr>
                      </w:pPr>
                      <w:r>
                        <w:rPr>
                          <w:sz w:val="14"/>
                        </w:rPr>
                        <w:t>60 napon belül</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606016" behindDoc="0" locked="0" layoutInCell="1" allowOverlap="1" wp14:anchorId="25D83BA4" wp14:editId="7374DAD7">
                <wp:simplePos x="0" y="0"/>
                <wp:positionH relativeFrom="column">
                  <wp:posOffset>2171700</wp:posOffset>
                </wp:positionH>
                <wp:positionV relativeFrom="paragraph">
                  <wp:posOffset>2400300</wp:posOffset>
                </wp:positionV>
                <wp:extent cx="1714500" cy="457200"/>
                <wp:effectExtent l="38100" t="0" r="19050" b="76200"/>
                <wp:wrapNone/>
                <wp:docPr id="107"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89pt" to="30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">
                <v:stroke endarrow="block"/>
              </v:line>
            </w:pict>
          </mc:Fallback>
        </mc:AlternateContent>
      </w:r>
      <w:r>
        <w:rPr>
          <w:rFonts w:asciiTheme="minorHAnsi" w:hAnsiTheme="minorHAnsi"/>
          <w:noProof/>
          <w:lang w:bidi="ar-SA"/>
        </w:rPr>
        <mc:AlternateContent>
          <mc:Choice Requires="wps">
            <w:drawing>
              <wp:anchor distT="0" distB="0" distL="114298" distR="114298" simplePos="0" relativeHeight="251604992" behindDoc="0" locked="0" layoutInCell="1" allowOverlap="1" wp14:anchorId="64FC6942" wp14:editId="425EEC42">
                <wp:simplePos x="0" y="0"/>
                <wp:positionH relativeFrom="column">
                  <wp:posOffset>2171699</wp:posOffset>
                </wp:positionH>
                <wp:positionV relativeFrom="paragraph">
                  <wp:posOffset>1828800</wp:posOffset>
                </wp:positionV>
                <wp:extent cx="0" cy="571500"/>
                <wp:effectExtent l="76200" t="38100" r="57150" b="19050"/>
                <wp:wrapNone/>
                <wp:docPr id="106"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flip:y;z-index:251604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1pt,2in" to="171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">
                <v:stroke endarrow="block"/>
              </v:line>
            </w:pict>
          </mc:Fallback>
        </mc:AlternateContent>
      </w:r>
      <w:r>
        <w:rPr>
          <w:rFonts w:asciiTheme="minorHAnsi" w:hAnsiTheme="minorHAnsi"/>
          <w:noProof/>
          <w:lang w:bidi="ar-SA"/>
        </w:rPr>
        <mc:AlternateContent>
          <mc:Choice Requires="wps">
            <w:drawing>
              <wp:anchor distT="4294967294" distB="4294967294" distL="114300" distR="114300" simplePos="0" relativeHeight="251603968" behindDoc="0" locked="0" layoutInCell="1" allowOverlap="1" wp14:anchorId="4E9A6D4D" wp14:editId="15600E33">
                <wp:simplePos x="0" y="0"/>
                <wp:positionH relativeFrom="column">
                  <wp:posOffset>1714500</wp:posOffset>
                </wp:positionH>
                <wp:positionV relativeFrom="paragraph">
                  <wp:posOffset>2400299</wp:posOffset>
                </wp:positionV>
                <wp:extent cx="457200" cy="0"/>
                <wp:effectExtent l="0" t="0" r="19050" b="19050"/>
                <wp:wrapNone/>
                <wp:docPr id="105"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603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5pt,189pt" to="171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Ubd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"/>
            </w:pict>
          </mc:Fallback>
        </mc:AlternateContent>
      </w:r>
      <w:r>
        <w:rPr>
          <w:rFonts w:asciiTheme="minorHAnsi" w:hAnsiTheme="minorHAnsi"/>
          <w:noProof/>
          <w:lang w:bidi="ar-SA"/>
        </w:rPr>
        <mc:AlternateContent>
          <mc:Choice Requires="wps">
            <w:drawing>
              <wp:anchor distT="0" distB="0" distL="114300" distR="114300" simplePos="0" relativeHeight="251601920" behindDoc="0" locked="0" layoutInCell="1" allowOverlap="1" wp14:anchorId="210D6B3C" wp14:editId="1AD792D3">
                <wp:simplePos x="0" y="0"/>
                <wp:positionH relativeFrom="column">
                  <wp:posOffset>952500</wp:posOffset>
                </wp:positionH>
                <wp:positionV relativeFrom="paragraph">
                  <wp:posOffset>1943100</wp:posOffset>
                </wp:positionV>
                <wp:extent cx="762000" cy="228600"/>
                <wp:effectExtent l="0" t="0" r="19050" b="19050"/>
                <wp:wrapNone/>
                <wp:docPr id="104" name="2b92051a48114d6e9e789032fe885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28600"/>
                        </a:xfrm>
                        <a:prstGeom prst="rect">
                          <a:avLst/>
                        </a:prstGeom>
                        <a:solidFill>
                          <a:srgbClr val="FFFFFF"/>
                        </a:solidFill>
                        <a:ln w="9525">
                          <a:solidFill>
                            <a:srgbClr val="FFFFFF"/>
                          </a:solidFill>
                          <a:miter lim="800000"/>
                          <a:headEnd/>
                          <a:tailEnd/>
                        </a:ln>
                      </wps:spPr>
                      <wps:txbx>
                        <w:txbxContent>
                          <w:p w:rsidR="002D610B" w:rsidRPr="000C7AAA" w:rsidRDefault="002D610B" w:rsidP="00BF6ACB">
                            <w:pPr>
                              <w:rPr>
                                <w:sz w:val="14"/>
                                <w:szCs w:val="14"/>
                              </w:rPr>
                            </w:pPr>
                            <w:r>
                              <w:rPr>
                                <w:sz w:val="14"/>
                              </w:rPr>
                              <w:t>5 üzleti nap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2b92051a48114d6e9e789032fe885916" o:spid="_x0000_s1062" type="#_x0000_t202" style="position:absolute;margin-left:75pt;margin-top:153pt;width:60pt;height:18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" strokecolor="white">
                <v:textbox>
                  <w:txbxContent>
                    <w:p w:rsidR="002D610B" w:rsidRPr="000C7AAA" w:rsidRDefault="002D610B" w:rsidP="00BF6ACB">
                      <w:pPr>
                        <w:rPr>
                          <w:sz w:val="14"/>
                          <w:szCs w:val="14"/>
                        </w:rPr>
                      </w:pPr>
                      <w:r>
                        <w:rPr>
                          <w:sz w:val="14"/>
                        </w:rPr>
                        <w:t>5 üzleti nap</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97824" behindDoc="0" locked="0" layoutInCell="1" allowOverlap="1" wp14:anchorId="5B285AB4" wp14:editId="362C921E">
                <wp:simplePos x="0" y="0"/>
                <wp:positionH relativeFrom="column">
                  <wp:posOffset>2971800</wp:posOffset>
                </wp:positionH>
                <wp:positionV relativeFrom="paragraph">
                  <wp:posOffset>8001000</wp:posOffset>
                </wp:positionV>
                <wp:extent cx="800100" cy="342900"/>
                <wp:effectExtent l="0" t="0" r="19050" b="19050"/>
                <wp:wrapNone/>
                <wp:docPr id="103" name="f1fa75efaf5e4c3cb520c5e29600f2c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2D610B" w:rsidRPr="002F1918" w:rsidRDefault="002D610B" w:rsidP="00BF6ACB">
                            <w:pPr>
                              <w:jc w:val="both"/>
                              <w:rPr>
                                <w:sz w:val="16"/>
                                <w:szCs w:val="16"/>
                              </w:rPr>
                            </w:pPr>
                            <w:r>
                              <w:rPr>
                                <w:sz w:val="16"/>
                              </w:rPr>
                              <w:t>Az adós nem teljesíti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1fa75efaf5e4c3cb520c5e29600f2c3" o:spid="_x0000_s1063" type="#_x0000_t202" style="position:absolute;margin-left:234pt;margin-top:630pt;width:63pt;height:27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">
                <v:textbox>
                  <w:txbxContent>
                    <w:p w:rsidR="002D610B" w:rsidRPr="002F1918" w:rsidRDefault="002D610B" w:rsidP="00BF6ACB">
                      <w:pPr>
                        <w:jc w:val="both"/>
                        <w:rPr>
                          <w:sz w:val="16"/>
                          <w:szCs w:val="16"/>
                        </w:rPr>
                      </w:pPr>
                      <w:r>
                        <w:rPr>
                          <w:sz w:val="16"/>
                        </w:rPr>
                        <w:t>Az adós nem teljesíti</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96800" behindDoc="0" locked="0" layoutInCell="1" allowOverlap="1" wp14:anchorId="66EE63DC" wp14:editId="6279DC64">
                <wp:simplePos x="0" y="0"/>
                <wp:positionH relativeFrom="column">
                  <wp:posOffset>1485900</wp:posOffset>
                </wp:positionH>
                <wp:positionV relativeFrom="paragraph">
                  <wp:posOffset>8001000</wp:posOffset>
                </wp:positionV>
                <wp:extent cx="1028700" cy="228600"/>
                <wp:effectExtent l="0" t="0" r="19050" b="19050"/>
                <wp:wrapNone/>
                <wp:docPr id="102" name="10113db40e2248adb9f7b8d2292c260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2D610B" w:rsidRPr="009C1AD7" w:rsidRDefault="002D610B" w:rsidP="00BF6ACB">
                            <w:pPr>
                              <w:rPr>
                                <w:sz w:val="16"/>
                                <w:szCs w:val="16"/>
                              </w:rPr>
                            </w:pPr>
                            <w:r>
                              <w:rPr>
                                <w:sz w:val="16"/>
                              </w:rPr>
                              <w:t>Az adós teljesíti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0113db40e2248adb9f7b8d2292c260d" o:spid="_x0000_s1064" type="#_x0000_t202" style="position:absolute;margin-left:117pt;margin-top:630pt;width:81pt;height:18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">
                <v:textbox>
                  <w:txbxContent>
                    <w:p w:rsidR="002D610B" w:rsidRPr="009C1AD7" w:rsidRDefault="002D610B" w:rsidP="00BF6ACB">
                      <w:pPr>
                        <w:rPr>
                          <w:sz w:val="16"/>
                          <w:szCs w:val="16"/>
                        </w:rPr>
                      </w:pPr>
                      <w:r>
                        <w:rPr>
                          <w:sz w:val="16"/>
                        </w:rPr>
                        <w:t>Az adós teljesíti</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91680" behindDoc="0" locked="0" layoutInCell="1" allowOverlap="1" wp14:anchorId="7808D0A0" wp14:editId="05388456">
                <wp:simplePos x="0" y="0"/>
                <wp:positionH relativeFrom="column">
                  <wp:posOffset>4343400</wp:posOffset>
                </wp:positionH>
                <wp:positionV relativeFrom="paragraph">
                  <wp:posOffset>5257800</wp:posOffset>
                </wp:positionV>
                <wp:extent cx="1600200" cy="342900"/>
                <wp:effectExtent l="0" t="0" r="19050" b="19050"/>
                <wp:wrapNone/>
                <wp:docPr id="100" name="559eaf1311144505a3122032159d3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2D610B" w:rsidRPr="009C1AD7" w:rsidRDefault="002D610B" w:rsidP="00BF6ACB">
                            <w:pPr>
                              <w:jc w:val="both"/>
                              <w:rPr>
                                <w:sz w:val="16"/>
                                <w:szCs w:val="16"/>
                              </w:rPr>
                            </w:pPr>
                            <w:r>
                              <w:rPr>
                                <w:sz w:val="16"/>
                              </w:rPr>
                              <w:t>Az adós vezető tisztségviselője tájékoztatja a bíróságot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59eaf1311144505a3122032159d3785" o:spid="_x0000_s1065" type="#_x0000_t202" style="position:absolute;margin-left:342pt;margin-top:414pt;width:126pt;height:27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">
                <v:textbox>
                  <w:txbxContent>
                    <w:p w:rsidR="002D610B" w:rsidRPr="009C1AD7" w:rsidRDefault="002D610B" w:rsidP="00BF6ACB">
                      <w:pPr>
                        <w:jc w:val="both"/>
                        <w:rPr>
                          <w:sz w:val="16"/>
                          <w:szCs w:val="16"/>
                        </w:rPr>
                      </w:pPr>
                      <w:r>
                        <w:rPr>
                          <w:sz w:val="16"/>
                        </w:rPr>
                        <w:t>Az adós vezető tisztségviselője tájékoztatja a bíróságot</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90656" behindDoc="0" locked="0" layoutInCell="1" allowOverlap="1" wp14:anchorId="6439949B" wp14:editId="1006F573">
                <wp:simplePos x="0" y="0"/>
                <wp:positionH relativeFrom="column">
                  <wp:posOffset>4457700</wp:posOffset>
                </wp:positionH>
                <wp:positionV relativeFrom="paragraph">
                  <wp:posOffset>4572000</wp:posOffset>
                </wp:positionV>
                <wp:extent cx="1485900" cy="342900"/>
                <wp:effectExtent l="0" t="0" r="19050" b="19050"/>
                <wp:wrapNone/>
                <wp:docPr id="99" name="231dc4399b7147a28b7b03adcbcf4dc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2D610B" w:rsidRPr="009C1AD7" w:rsidRDefault="002D610B" w:rsidP="00BF6ACB">
                            <w:pPr>
                              <w:jc w:val="both"/>
                              <w:rPr>
                                <w:sz w:val="16"/>
                                <w:szCs w:val="16"/>
                              </w:rPr>
                            </w:pPr>
                            <w:r>
                              <w:rPr>
                                <w:sz w:val="16"/>
                              </w:rPr>
                              <w:t>A vagyonfelügyelő aláírja az egyezséget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231dc4399b7147a28b7b03adcbcf4dc7" o:spid="_x0000_s1066" type="#_x0000_t202" style="position:absolute;margin-left:351pt;margin-top:5in;width:117pt;height:27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">
                <v:textbox>
                  <w:txbxContent>
                    <w:p w:rsidR="002D610B" w:rsidRPr="009C1AD7" w:rsidRDefault="002D610B" w:rsidP="00BF6ACB">
                      <w:pPr>
                        <w:jc w:val="both"/>
                        <w:rPr>
                          <w:sz w:val="16"/>
                          <w:szCs w:val="16"/>
                        </w:rPr>
                      </w:pPr>
                      <w:r>
                        <w:rPr>
                          <w:sz w:val="16"/>
                        </w:rPr>
                        <w:t>A vagyonfelügyelő aláírja az egyezséget</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83488" behindDoc="0" locked="0" layoutInCell="1" allowOverlap="1" wp14:anchorId="7602E8E8" wp14:editId="68AE0BF5">
                <wp:simplePos x="0" y="0"/>
                <wp:positionH relativeFrom="column">
                  <wp:posOffset>-228600</wp:posOffset>
                </wp:positionH>
                <wp:positionV relativeFrom="paragraph">
                  <wp:posOffset>5943600</wp:posOffset>
                </wp:positionV>
                <wp:extent cx="685800" cy="228600"/>
                <wp:effectExtent l="0" t="0" r="19050" b="19050"/>
                <wp:wrapNone/>
                <wp:docPr id="97" name="42383c396b594ff2994faae16e73fbc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rsidR="002D610B" w:rsidRPr="009C1AD7" w:rsidRDefault="002D610B" w:rsidP="00BF6ACB">
                            <w:pPr>
                              <w:jc w:val="both"/>
                              <w:rPr>
                                <w:sz w:val="16"/>
                                <w:szCs w:val="16"/>
                              </w:rPr>
                            </w:pPr>
                            <w:r>
                              <w:rPr>
                                <w:sz w:val="16"/>
                              </w:rPr>
                              <w:t>Elutasítás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42383c396b594ff2994faae16e73fbc4" o:spid="_x0000_s1067" type="#_x0000_t202" style="position:absolute;margin-left:-18pt;margin-top:468pt;width:54pt;height:18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">
                <v:textbox>
                  <w:txbxContent>
                    <w:p w:rsidR="002D610B" w:rsidRPr="009C1AD7" w:rsidRDefault="002D610B" w:rsidP="00BF6ACB">
                      <w:pPr>
                        <w:jc w:val="both"/>
                        <w:rPr>
                          <w:sz w:val="16"/>
                          <w:szCs w:val="16"/>
                        </w:rPr>
                      </w:pPr>
                      <w:r>
                        <w:rPr>
                          <w:sz w:val="16"/>
                        </w:rPr>
                        <w:t>Elutasítás</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79392" behindDoc="0" locked="0" layoutInCell="1" allowOverlap="1" wp14:anchorId="780DA39F" wp14:editId="3E4B0100">
                <wp:simplePos x="0" y="0"/>
                <wp:positionH relativeFrom="column">
                  <wp:posOffset>2857500</wp:posOffset>
                </wp:positionH>
                <wp:positionV relativeFrom="paragraph">
                  <wp:posOffset>3771900</wp:posOffset>
                </wp:positionV>
                <wp:extent cx="1485900" cy="342900"/>
                <wp:effectExtent l="0" t="0" r="19050" b="19050"/>
                <wp:wrapNone/>
                <wp:docPr id="95" name="d20d92dd84ba4acb8f2095dc7dbe9d3b"/>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2D610B" w:rsidRPr="009C1AD7" w:rsidRDefault="002D610B" w:rsidP="00BF6ACB">
                            <w:pPr>
                              <w:jc w:val="both"/>
                              <w:rPr>
                                <w:sz w:val="16"/>
                                <w:szCs w:val="16"/>
                              </w:rPr>
                            </w:pPr>
                            <w:r>
                              <w:rPr>
                                <w:sz w:val="16"/>
                              </w:rPr>
                              <w:t>A hitelezők elutasítják a csődegyezségi javaslatot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20d92dd84ba4acb8f2095dc7dbe9d3b" o:spid="_x0000_s1068" type="#_x0000_t202" style="position:absolute;margin-left:225pt;margin-top:297pt;width:117pt;height:27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">
                <v:textbox>
                  <w:txbxContent>
                    <w:p w:rsidR="002D610B" w:rsidRPr="009C1AD7" w:rsidRDefault="002D610B" w:rsidP="00BF6ACB">
                      <w:pPr>
                        <w:jc w:val="both"/>
                        <w:rPr>
                          <w:sz w:val="16"/>
                          <w:szCs w:val="16"/>
                        </w:rPr>
                      </w:pPr>
                      <w:r>
                        <w:rPr>
                          <w:sz w:val="16"/>
                        </w:rPr>
                        <w:t>A hitelezők elutasítják a csődegyezségi javaslatot</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76320" behindDoc="0" locked="0" layoutInCell="1" allowOverlap="1" wp14:anchorId="5E72289A" wp14:editId="5C8C8059">
                <wp:simplePos x="0" y="0"/>
                <wp:positionH relativeFrom="column">
                  <wp:posOffset>3086100</wp:posOffset>
                </wp:positionH>
                <wp:positionV relativeFrom="paragraph">
                  <wp:posOffset>2857500</wp:posOffset>
                </wp:positionV>
                <wp:extent cx="2857500" cy="342900"/>
                <wp:effectExtent l="0" t="0" r="19050" b="19050"/>
                <wp:wrapNone/>
                <wp:docPr id="94" name="6db716ded996454f8fb3f0282c49ca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solidFill>
                          <a:srgbClr val="FFFFFF"/>
                        </a:solidFill>
                        <a:ln w="9525">
                          <a:solidFill>
                            <a:srgbClr val="000000"/>
                          </a:solidFill>
                          <a:miter lim="800000"/>
                          <a:headEnd/>
                          <a:tailEnd/>
                        </a:ln>
                      </wps:spPr>
                      <wps:txbx>
                        <w:txbxContent>
                          <w:p w:rsidR="002D610B" w:rsidRPr="00CF5438" w:rsidRDefault="002D610B" w:rsidP="00BF6ACB">
                            <w:pPr>
                              <w:jc w:val="center"/>
                              <w:rPr>
                                <w:sz w:val="16"/>
                                <w:szCs w:val="16"/>
                              </w:rPr>
                            </w:pPr>
                            <w:r>
                              <w:rPr>
                                <w:sz w:val="16"/>
                              </w:rPr>
                              <w:t>Az adós összehívja az egyezségi tárgyalást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6db716ded996454f8fb3f0282c49cae3" o:spid="_x0000_s1069" type="#_x0000_t202" style="position:absolute;margin-left:243pt;margin-top:225pt;width:225pt;height:27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">
                <v:textbox>
                  <w:txbxContent>
                    <w:p w:rsidR="002D610B" w:rsidRPr="00CF5438" w:rsidRDefault="002D610B" w:rsidP="00BF6ACB">
                      <w:pPr>
                        <w:jc w:val="center"/>
                        <w:rPr>
                          <w:sz w:val="16"/>
                          <w:szCs w:val="16"/>
                        </w:rPr>
                      </w:pPr>
                      <w:r>
                        <w:rPr>
                          <w:sz w:val="16"/>
                        </w:rPr>
                        <w:t>Az adós összehívja az egyezségi tárgyalást</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75296" behindDoc="0" locked="0" layoutInCell="1" allowOverlap="1" wp14:anchorId="1524BF76" wp14:editId="3DD1BF46">
                <wp:simplePos x="0" y="0"/>
                <wp:positionH relativeFrom="column">
                  <wp:posOffset>1028700</wp:posOffset>
                </wp:positionH>
                <wp:positionV relativeFrom="paragraph">
                  <wp:posOffset>2857500</wp:posOffset>
                </wp:positionV>
                <wp:extent cx="1828800" cy="342900"/>
                <wp:effectExtent l="0" t="0" r="19050" b="19050"/>
                <wp:wrapNone/>
                <wp:docPr id="93" name="8e06f671a30f43f3ac82460505442a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2900"/>
                        </a:xfrm>
                        <a:prstGeom prst="rect">
                          <a:avLst/>
                        </a:prstGeom>
                        <a:solidFill>
                          <a:srgbClr val="FFFFFF"/>
                        </a:solidFill>
                        <a:ln w="9525">
                          <a:solidFill>
                            <a:srgbClr val="000000"/>
                          </a:solidFill>
                          <a:miter lim="800000"/>
                          <a:headEnd/>
                          <a:tailEnd/>
                        </a:ln>
                      </wps:spPr>
                      <wps:txbx>
                        <w:txbxContent>
                          <w:p w:rsidR="002D610B" w:rsidRPr="00CF5438" w:rsidRDefault="002D610B" w:rsidP="00BF6ACB">
                            <w:pPr>
                              <w:jc w:val="center"/>
                              <w:rPr>
                                <w:sz w:val="16"/>
                                <w:szCs w:val="16"/>
                              </w:rPr>
                            </w:pPr>
                            <w:r>
                              <w:rPr>
                                <w:sz w:val="16"/>
                              </w:rPr>
                              <w:t>A hitelezői igények bejelentése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8e06f671a30f43f3ac82460505442a79" o:spid="_x0000_s1070" type="#_x0000_t202" style="position:absolute;margin-left:81pt;margin-top:225pt;width:2in;height:27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">
                <v:textbox>
                  <w:txbxContent>
                    <w:p w:rsidR="002D610B" w:rsidRPr="00CF5438" w:rsidRDefault="002D610B" w:rsidP="00BF6ACB">
                      <w:pPr>
                        <w:jc w:val="center"/>
                        <w:rPr>
                          <w:sz w:val="16"/>
                          <w:szCs w:val="16"/>
                        </w:rPr>
                      </w:pPr>
                      <w:r>
                        <w:rPr>
                          <w:sz w:val="16"/>
                        </w:rPr>
                        <w:t>A hitelezői igények bejelentése</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74272" behindDoc="0" locked="0" layoutInCell="1" allowOverlap="1" wp14:anchorId="32A3BD1E" wp14:editId="4E9AF5D3">
                <wp:simplePos x="0" y="0"/>
                <wp:positionH relativeFrom="column">
                  <wp:posOffset>228600</wp:posOffset>
                </wp:positionH>
                <wp:positionV relativeFrom="paragraph">
                  <wp:posOffset>2286000</wp:posOffset>
                </wp:positionV>
                <wp:extent cx="1485900" cy="342900"/>
                <wp:effectExtent l="0" t="0" r="19050" b="19050"/>
                <wp:wrapNone/>
                <wp:docPr id="92" name="35bdfff7e5154343955157714e471b0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2D610B" w:rsidRPr="00CF5438" w:rsidRDefault="002D610B" w:rsidP="00BF6ACB">
                            <w:pPr>
                              <w:jc w:val="center"/>
                              <w:rPr>
                                <w:sz w:val="16"/>
                                <w:szCs w:val="16"/>
                              </w:rPr>
                            </w:pPr>
                            <w:r>
                              <w:rPr>
                                <w:sz w:val="16"/>
                              </w:rPr>
                              <w:t>Az adós nem felel meg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35bdfff7e5154343955157714e471b0e" o:spid="_x0000_s1071" type="#_x0000_t202" style="position:absolute;margin-left:18pt;margin-top:180pt;width:117pt;height:27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">
                <v:textbox>
                  <w:txbxContent>
                    <w:p w:rsidR="002D610B" w:rsidRPr="00CF5438" w:rsidRDefault="002D610B" w:rsidP="00BF6ACB">
                      <w:pPr>
                        <w:jc w:val="center"/>
                        <w:rPr>
                          <w:sz w:val="16"/>
                          <w:szCs w:val="16"/>
                        </w:rPr>
                      </w:pPr>
                      <w:r>
                        <w:rPr>
                          <w:sz w:val="16"/>
                        </w:rPr>
                        <w:t>Az adós nem felel meg</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73248" behindDoc="0" locked="0" layoutInCell="1" allowOverlap="1" wp14:anchorId="29D575E6" wp14:editId="7D18AEA6">
                <wp:simplePos x="0" y="0"/>
                <wp:positionH relativeFrom="column">
                  <wp:posOffset>3657600</wp:posOffset>
                </wp:positionH>
                <wp:positionV relativeFrom="paragraph">
                  <wp:posOffset>1485900</wp:posOffset>
                </wp:positionV>
                <wp:extent cx="2286000" cy="914400"/>
                <wp:effectExtent l="0" t="0" r="19050" b="19050"/>
                <wp:wrapNone/>
                <wp:docPr id="91" name="377864cacd6648e1a568bc4061cc6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w="9525">
                          <a:solidFill>
                            <a:srgbClr val="000000"/>
                          </a:solidFill>
                          <a:miter lim="800000"/>
                          <a:headEnd/>
                          <a:tailEnd/>
                        </a:ln>
                      </wps:spPr>
                      <wps:txbx>
                        <w:txbxContent>
                          <w:p w:rsidR="002D610B" w:rsidRPr="00CF5438" w:rsidRDefault="002D610B" w:rsidP="00BF6ACB">
                            <w:pPr>
                              <w:rPr>
                                <w:sz w:val="16"/>
                                <w:szCs w:val="16"/>
                              </w:rPr>
                            </w:pPr>
                            <w:r>
                              <w:rPr>
                                <w:sz w:val="16"/>
                              </w:rPr>
                              <w:t>A csődeljárás kezdete és annak közzététele:</w:t>
                            </w:r>
                          </w:p>
                          <w:p w:rsidR="002D610B" w:rsidRPr="00CF5438" w:rsidRDefault="002D610B" w:rsidP="009A73FD">
                            <w:pPr>
                              <w:numPr>
                                <w:ilvl w:val="0"/>
                                <w:numId w:val="47"/>
                              </w:numPr>
                              <w:tabs>
                                <w:tab w:val="clear" w:pos="720"/>
                                <w:tab w:val="num" w:pos="360"/>
                              </w:tabs>
                              <w:spacing w:line="240" w:lineRule="auto"/>
                              <w:ind w:left="360" w:hanging="180"/>
                              <w:jc w:val="both"/>
                              <w:rPr>
                                <w:sz w:val="16"/>
                                <w:szCs w:val="16"/>
                              </w:rPr>
                            </w:pPr>
                            <w:r>
                              <w:rPr>
                                <w:sz w:val="16"/>
                              </w:rPr>
                              <w:t>120 napos hivatalos moratórium;</w:t>
                            </w:r>
                          </w:p>
                          <w:p w:rsidR="002D610B" w:rsidRPr="00CF5438" w:rsidRDefault="002D610B" w:rsidP="009A73FD">
                            <w:pPr>
                              <w:numPr>
                                <w:ilvl w:val="0"/>
                                <w:numId w:val="47"/>
                              </w:numPr>
                              <w:tabs>
                                <w:tab w:val="clear" w:pos="720"/>
                                <w:tab w:val="num" w:pos="360"/>
                              </w:tabs>
                              <w:spacing w:line="240" w:lineRule="auto"/>
                              <w:ind w:left="360" w:hanging="180"/>
                              <w:jc w:val="both"/>
                              <w:rPr>
                                <w:sz w:val="16"/>
                                <w:szCs w:val="16"/>
                              </w:rPr>
                            </w:pPr>
                            <w:r>
                              <w:rPr>
                                <w:sz w:val="16"/>
                              </w:rPr>
                              <w:t>a hitelezők felszólítása, hogy 30 napon belül jelentsék be követelésüket;</w:t>
                            </w:r>
                          </w:p>
                          <w:p w:rsidR="002D610B" w:rsidRPr="00CF5438" w:rsidRDefault="002D610B" w:rsidP="009A73FD">
                            <w:pPr>
                              <w:numPr>
                                <w:ilvl w:val="0"/>
                                <w:numId w:val="47"/>
                              </w:numPr>
                              <w:tabs>
                                <w:tab w:val="clear" w:pos="720"/>
                                <w:tab w:val="num" w:pos="360"/>
                              </w:tabs>
                              <w:spacing w:line="240" w:lineRule="auto"/>
                              <w:ind w:left="360" w:hanging="180"/>
                              <w:jc w:val="both"/>
                              <w:rPr>
                                <w:sz w:val="16"/>
                                <w:szCs w:val="16"/>
                              </w:rPr>
                            </w:pPr>
                            <w:r>
                              <w:rPr>
                                <w:sz w:val="16"/>
                              </w:rPr>
                              <w:t>a vagyonfelügyelő kijelölése.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377864cacd6648e1a568bc4061cc6458" o:spid="_x0000_s1072" type="#_x0000_t202" style="position:absolute;margin-left:4in;margin-top:117pt;width:180pt;height:1in;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">
                <v:textbox>
                  <w:txbxContent>
                    <w:p w:rsidR="002D610B" w:rsidRPr="00CF5438" w:rsidRDefault="002D610B" w:rsidP="00BF6ACB">
                      <w:pPr>
                        <w:rPr>
                          <w:sz w:val="16"/>
                          <w:szCs w:val="16"/>
                        </w:rPr>
                      </w:pPr>
                      <w:r>
                        <w:rPr>
                          <w:sz w:val="16"/>
                        </w:rPr>
                        <w:t>A csődeljárás kezdete és annak közzététele:</w:t>
                      </w:r>
                    </w:p>
                    <w:p w:rsidR="002D610B" w:rsidRPr="00CF5438" w:rsidRDefault="002D610B" w:rsidP="009A73FD">
                      <w:pPr>
                        <w:numPr>
                          <w:ilvl w:val="0"/>
                          <w:numId w:val="47"/>
                        </w:numPr>
                        <w:tabs>
                          <w:tab w:val="clear" w:pos="720"/>
                          <w:tab w:val="num" w:pos="360"/>
                        </w:tabs>
                        <w:spacing w:line="240" w:lineRule="auto"/>
                        <w:ind w:left="360" w:hanging="180"/>
                        <w:jc w:val="both"/>
                        <w:rPr>
                          <w:sz w:val="16"/>
                          <w:szCs w:val="16"/>
                        </w:rPr>
                      </w:pPr>
                      <w:r>
                        <w:rPr>
                          <w:sz w:val="16"/>
                        </w:rPr>
                        <w:t>120 napos hivatalos moratórium;</w:t>
                      </w:r>
                    </w:p>
                    <w:p w:rsidR="002D610B" w:rsidRPr="00CF5438" w:rsidRDefault="002D610B" w:rsidP="009A73FD">
                      <w:pPr>
                        <w:numPr>
                          <w:ilvl w:val="0"/>
                          <w:numId w:val="47"/>
                        </w:numPr>
                        <w:tabs>
                          <w:tab w:val="clear" w:pos="720"/>
                          <w:tab w:val="num" w:pos="360"/>
                        </w:tabs>
                        <w:spacing w:line="240" w:lineRule="auto"/>
                        <w:ind w:left="360" w:hanging="180"/>
                        <w:jc w:val="both"/>
                        <w:rPr>
                          <w:sz w:val="16"/>
                          <w:szCs w:val="16"/>
                        </w:rPr>
                      </w:pPr>
                      <w:r>
                        <w:rPr>
                          <w:sz w:val="16"/>
                        </w:rPr>
                        <w:t>a hitelezők felszólítása, hogy 30 napon belül jelentsék be követelésüket;</w:t>
                      </w:r>
                    </w:p>
                    <w:p w:rsidR="002D610B" w:rsidRPr="00CF5438" w:rsidRDefault="002D610B" w:rsidP="009A73FD">
                      <w:pPr>
                        <w:numPr>
                          <w:ilvl w:val="0"/>
                          <w:numId w:val="47"/>
                        </w:numPr>
                        <w:tabs>
                          <w:tab w:val="clear" w:pos="720"/>
                          <w:tab w:val="num" w:pos="360"/>
                        </w:tabs>
                        <w:spacing w:line="240" w:lineRule="auto"/>
                        <w:ind w:left="360" w:hanging="180"/>
                        <w:jc w:val="both"/>
                        <w:rPr>
                          <w:sz w:val="16"/>
                          <w:szCs w:val="16"/>
                        </w:rPr>
                      </w:pPr>
                      <w:r>
                        <w:rPr>
                          <w:sz w:val="16"/>
                        </w:rPr>
                        <w:t>a vagyonfelügyelő kijelölése.</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72224" behindDoc="0" locked="0" layoutInCell="1" allowOverlap="1" wp14:anchorId="36F11C0D" wp14:editId="5ACE0167">
                <wp:simplePos x="0" y="0"/>
                <wp:positionH relativeFrom="column">
                  <wp:posOffset>1943100</wp:posOffset>
                </wp:positionH>
                <wp:positionV relativeFrom="paragraph">
                  <wp:posOffset>1485900</wp:posOffset>
                </wp:positionV>
                <wp:extent cx="1485900" cy="342900"/>
                <wp:effectExtent l="0" t="0" r="19050" b="19050"/>
                <wp:wrapNone/>
                <wp:docPr id="90" name="66ab5610b1a94687a9fd12ccabb69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2D610B" w:rsidRPr="00CF5438" w:rsidRDefault="002D610B" w:rsidP="00BF6ACB">
                            <w:pPr>
                              <w:jc w:val="center"/>
                              <w:rPr>
                                <w:sz w:val="16"/>
                                <w:szCs w:val="16"/>
                              </w:rPr>
                            </w:pPr>
                            <w:r>
                              <w:rPr>
                                <w:sz w:val="16"/>
                              </w:rPr>
                              <w:t>A bíróság elutasítja a kérelmet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66ab5610b1a94687a9fd12ccabb69166" o:spid="_x0000_s1073" type="#_x0000_t202" style="position:absolute;margin-left:153pt;margin-top:117pt;width:117pt;height:27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">
                <v:textbox>
                  <w:txbxContent>
                    <w:p w:rsidR="002D610B" w:rsidRPr="00CF5438" w:rsidRDefault="002D610B" w:rsidP="00BF6ACB">
                      <w:pPr>
                        <w:jc w:val="center"/>
                        <w:rPr>
                          <w:sz w:val="16"/>
                          <w:szCs w:val="16"/>
                        </w:rPr>
                      </w:pPr>
                      <w:r>
                        <w:rPr>
                          <w:sz w:val="16"/>
                        </w:rPr>
                        <w:t>A bíróság elutasítja a kérelmet</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71200" behindDoc="0" locked="0" layoutInCell="1" allowOverlap="1" wp14:anchorId="2C18AEBA" wp14:editId="49F3D509">
                <wp:simplePos x="0" y="0"/>
                <wp:positionH relativeFrom="column">
                  <wp:posOffset>228600</wp:posOffset>
                </wp:positionH>
                <wp:positionV relativeFrom="paragraph">
                  <wp:posOffset>1485900</wp:posOffset>
                </wp:positionV>
                <wp:extent cx="1485900" cy="342900"/>
                <wp:effectExtent l="0" t="0" r="19050" b="19050"/>
                <wp:wrapNone/>
                <wp:docPr id="89" name="cd87e74b85374d86b0d4a526863f443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9525">
                          <a:solidFill>
                            <a:srgbClr val="000000"/>
                          </a:solidFill>
                          <a:miter lim="800000"/>
                          <a:headEnd/>
                          <a:tailEnd/>
                        </a:ln>
                      </wps:spPr>
                      <wps:txbx>
                        <w:txbxContent>
                          <w:p w:rsidR="002D610B" w:rsidRPr="00CF5438" w:rsidRDefault="002D610B" w:rsidP="00BF6ACB">
                            <w:pPr>
                              <w:jc w:val="center"/>
                              <w:rPr>
                                <w:sz w:val="16"/>
                                <w:szCs w:val="16"/>
                              </w:rPr>
                            </w:pPr>
                            <w:r>
                              <w:rPr>
                                <w:sz w:val="16"/>
                              </w:rPr>
                              <w:t>A bíróság kiegészítő keresete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d87e74b85374d86b0d4a526863f443c" o:spid="_x0000_s1074" type="#_x0000_t202" style="position:absolute;margin-left:18pt;margin-top:117pt;width:117pt;height:27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">
                <v:textbox>
                  <w:txbxContent>
                    <w:p w:rsidR="002D610B" w:rsidRPr="00CF5438" w:rsidRDefault="002D610B" w:rsidP="00BF6ACB">
                      <w:pPr>
                        <w:jc w:val="center"/>
                        <w:rPr>
                          <w:sz w:val="16"/>
                          <w:szCs w:val="16"/>
                        </w:rPr>
                      </w:pPr>
                      <w:r>
                        <w:rPr>
                          <w:sz w:val="16"/>
                        </w:rPr>
                        <w:t>A bíróság kiegészítő keresete</w:t>
                      </w:r>
                    </w:p>
                  </w:txbxContent>
                </v:textbox>
              </v:shape>
            </w:pict>
          </mc:Fallback>
        </mc:AlternateContent>
      </w:r>
      <w:r>
        <w:rPr>
          <w:rFonts w:asciiTheme="minorHAnsi" w:hAnsiTheme="minorHAnsi"/>
          <w:noProof/>
          <w:lang w:bidi="ar-SA"/>
        </w:rPr>
        <mc:AlternateContent>
          <mc:Choice Requires="wps">
            <w:drawing>
              <wp:anchor distT="0" distB="0" distL="114298" distR="114298" simplePos="0" relativeHeight="251656192" behindDoc="0" locked="0" layoutInCell="1" allowOverlap="1" wp14:anchorId="2A408E57" wp14:editId="09A171CE">
                <wp:simplePos x="0" y="0"/>
                <wp:positionH relativeFrom="column">
                  <wp:posOffset>4686299</wp:posOffset>
                </wp:positionH>
                <wp:positionV relativeFrom="paragraph">
                  <wp:posOffset>7886700</wp:posOffset>
                </wp:positionV>
                <wp:extent cx="0" cy="685800"/>
                <wp:effectExtent l="76200" t="38100" r="57150" b="19050"/>
                <wp:wrapNone/>
                <wp:docPr id="88"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y;z-index:251656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9pt,621pt" to="36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559936" behindDoc="0" locked="0" layoutInCell="1" allowOverlap="1" wp14:anchorId="1197A948" wp14:editId="0245E08A">
                <wp:simplePos x="0" y="0"/>
                <wp:positionH relativeFrom="column">
                  <wp:posOffset>1828800</wp:posOffset>
                </wp:positionH>
                <wp:positionV relativeFrom="paragraph">
                  <wp:posOffset>800100</wp:posOffset>
                </wp:positionV>
                <wp:extent cx="1943100" cy="228600"/>
                <wp:effectExtent l="0" t="0" r="19050" b="19050"/>
                <wp:wrapNone/>
                <wp:docPr id="87" name="a539dc2368f04f43a3a4b05ac8fdcdb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solidFill>
                          <a:srgbClr val="FFFFFF"/>
                        </a:solidFill>
                        <a:ln w="9525">
                          <a:solidFill>
                            <a:srgbClr val="000000"/>
                          </a:solidFill>
                          <a:miter lim="800000"/>
                          <a:headEnd/>
                          <a:tailEnd/>
                        </a:ln>
                      </wps:spPr>
                      <wps:txbx>
                        <w:txbxContent>
                          <w:p w:rsidR="002D610B" w:rsidRPr="00CF5438" w:rsidRDefault="002D610B" w:rsidP="00BF6ACB">
                            <w:pPr>
                              <w:spacing w:after="240"/>
                              <w:jc w:val="center"/>
                              <w:rPr>
                                <w:sz w:val="16"/>
                                <w:szCs w:val="16"/>
                              </w:rPr>
                            </w:pPr>
                            <w:r>
                              <w:rPr>
                                <w:sz w:val="16"/>
                              </w:rPr>
                              <w:t>Az eljárás megindításának tartalmi szempontú vizsgálata</w:t>
                            </w:r>
                          </w:p>
                          <w:p w:rsidR="002D610B" w:rsidRDefault="002D610B" w:rsidP="00BF6ACB">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539dc2368f04f43a3a4b05ac8fdcdb6" o:spid="_x0000_s1075" type="#_x0000_t202" style="position:absolute;margin-left:2in;margin-top:63pt;width:153pt;height:18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">
                <v:textbox>
                  <w:txbxContent>
                    <w:p w:rsidR="002D610B" w:rsidRPr="00CF5438" w:rsidRDefault="002D610B" w:rsidP="00BF6ACB">
                      <w:pPr>
                        <w:spacing w:after="240"/>
                        <w:jc w:val="center"/>
                        <w:rPr>
                          <w:sz w:val="16"/>
                          <w:szCs w:val="16"/>
                        </w:rPr>
                      </w:pPr>
                      <w:r>
                        <w:rPr>
                          <w:sz w:val="16"/>
                        </w:rPr>
                        <w:t>Az eljárás megindításának tartalmi szempontú vizsgálata</w:t>
                      </w:r>
                    </w:p>
                    <w:p w:rsidR="002D610B" w:rsidRDefault="002D610B" w:rsidP="00BF6ACB">
                      <w:pPr>
                        <w:rPr>
                          <w:szCs w:val="16"/>
                        </w:rPr>
                      </w:pP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69152" behindDoc="0" locked="0" layoutInCell="1" allowOverlap="1" wp14:anchorId="4DC3B625" wp14:editId="682F8321">
                <wp:simplePos x="0" y="0"/>
                <wp:positionH relativeFrom="column">
                  <wp:posOffset>-342900</wp:posOffset>
                </wp:positionH>
                <wp:positionV relativeFrom="paragraph">
                  <wp:posOffset>800100</wp:posOffset>
                </wp:positionV>
                <wp:extent cx="1943100" cy="228600"/>
                <wp:effectExtent l="0" t="0" r="19050" b="19050"/>
                <wp:wrapNone/>
                <wp:docPr id="86" name="b0f030cf090b4c6d9f1c7e5f489dbb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solidFill>
                          <a:srgbClr val="FFFFFF"/>
                        </a:solidFill>
                        <a:ln w="9525">
                          <a:solidFill>
                            <a:srgbClr val="000000"/>
                          </a:solidFill>
                          <a:miter lim="800000"/>
                          <a:headEnd/>
                          <a:tailEnd/>
                        </a:ln>
                      </wps:spPr>
                      <wps:txbx>
                        <w:txbxContent>
                          <w:p w:rsidR="002D610B" w:rsidRPr="00CF5438" w:rsidRDefault="002D610B" w:rsidP="00BF6ACB">
                            <w:pPr>
                              <w:jc w:val="center"/>
                              <w:rPr>
                                <w:sz w:val="16"/>
                                <w:szCs w:val="16"/>
                              </w:rPr>
                            </w:pPr>
                            <w:r>
                              <w:rPr>
                                <w:sz w:val="16"/>
                              </w:rPr>
                              <w:t>Azonnali elutasítás formai okok miatt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0f030cf090b4c6d9f1c7e5f489dbb73" o:spid="_x0000_s1076" type="#_x0000_t202" style="position:absolute;margin-left:-27pt;margin-top:63pt;width:153pt;height:1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">
                <v:textbox>
                  <w:txbxContent>
                    <w:p w:rsidR="002D610B" w:rsidRPr="00CF5438" w:rsidRDefault="002D610B" w:rsidP="00BF6ACB">
                      <w:pPr>
                        <w:jc w:val="center"/>
                        <w:rPr>
                          <w:sz w:val="16"/>
                          <w:szCs w:val="16"/>
                        </w:rPr>
                      </w:pPr>
                      <w:r>
                        <w:rPr>
                          <w:sz w:val="16"/>
                        </w:rPr>
                        <w:t>Azonnali elutasítás formai okok miatt</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57888" behindDoc="0" locked="0" layoutInCell="1" allowOverlap="1" wp14:anchorId="01C68A18" wp14:editId="38AC6CEC">
                <wp:simplePos x="0" y="0"/>
                <wp:positionH relativeFrom="column">
                  <wp:posOffset>3429000</wp:posOffset>
                </wp:positionH>
                <wp:positionV relativeFrom="paragraph">
                  <wp:posOffset>0</wp:posOffset>
                </wp:positionV>
                <wp:extent cx="2057400" cy="457200"/>
                <wp:effectExtent l="0" t="0" r="19050" b="19050"/>
                <wp:wrapNone/>
                <wp:docPr id="85" name="7c9fc3c6253e47b8917d69eb5f5c2ea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FFFFFF"/>
                        </a:solidFill>
                        <a:ln w="9525">
                          <a:solidFill>
                            <a:srgbClr val="000000"/>
                          </a:solidFill>
                          <a:miter lim="800000"/>
                          <a:headEnd/>
                          <a:tailEnd/>
                        </a:ln>
                      </wps:spPr>
                      <wps:txbx>
                        <w:txbxContent>
                          <w:p w:rsidR="002D610B" w:rsidRPr="00CF5438" w:rsidRDefault="002D610B" w:rsidP="00BF6ACB">
                            <w:pPr>
                              <w:spacing w:before="120" w:after="120"/>
                              <w:jc w:val="center"/>
                              <w:rPr>
                                <w:sz w:val="16"/>
                                <w:szCs w:val="16"/>
                              </w:rPr>
                            </w:pPr>
                            <w:r>
                              <w:rPr>
                                <w:sz w:val="16"/>
                              </w:rPr>
                              <w:t>A bíróság engedélyezi és közzéteszi az átmeneti moratóriumot</w:t>
                            </w: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shape id="7c9fc3c6253e47b8917d69eb5f5c2ead" o:spid="_x0000_s1077" type="#_x0000_t202" style="position:absolute;margin-left:270pt;margin-top:0;width:162pt;height:36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">
                <v:textbox inset=".72pt,.72pt,.72pt,.72pt">
                  <w:txbxContent>
                    <w:p w:rsidR="002D610B" w:rsidRPr="00CF5438" w:rsidRDefault="002D610B" w:rsidP="00BF6ACB">
                      <w:pPr>
                        <w:spacing w:before="120" w:after="120"/>
                        <w:jc w:val="center"/>
                        <w:rPr>
                          <w:sz w:val="16"/>
                          <w:szCs w:val="16"/>
                        </w:rPr>
                      </w:pPr>
                      <w:r>
                        <w:rPr>
                          <w:sz w:val="16"/>
                        </w:rPr>
                        <w:t>A bíróság engedélyezi és közzéteszi az átmeneti moratóriumot</w:t>
                      </w:r>
                    </w:p>
                  </w:txbxContent>
                </v:textbox>
              </v:shape>
            </w:pict>
          </mc:Fallback>
        </mc:AlternateContent>
      </w:r>
      <w:r>
        <w:rPr>
          <w:rFonts w:asciiTheme="minorHAnsi" w:hAnsiTheme="minorHAnsi"/>
          <w:noProof/>
          <w:lang w:bidi="ar-SA"/>
        </w:rPr>
        <mc:AlternateContent>
          <mc:Choice Requires="wps">
            <w:drawing>
              <wp:anchor distT="4294967294" distB="4294967294" distL="114300" distR="114300" simplePos="0" relativeHeight="251560960" behindDoc="0" locked="0" layoutInCell="1" allowOverlap="1" wp14:anchorId="49DB6809" wp14:editId="01330AFF">
                <wp:simplePos x="0" y="0"/>
                <wp:positionH relativeFrom="column">
                  <wp:posOffset>2171700</wp:posOffset>
                </wp:positionH>
                <wp:positionV relativeFrom="paragraph">
                  <wp:posOffset>228599</wp:posOffset>
                </wp:positionV>
                <wp:extent cx="1257300" cy="0"/>
                <wp:effectExtent l="0" t="76200" r="19050" b="95250"/>
                <wp:wrapNone/>
                <wp:docPr id="8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z-index:251560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1pt,18pt" to="27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556864" behindDoc="0" locked="0" layoutInCell="1" allowOverlap="1" wp14:anchorId="1E39976E" wp14:editId="227312AF">
                <wp:simplePos x="0" y="0"/>
                <wp:positionH relativeFrom="column">
                  <wp:posOffset>-228600</wp:posOffset>
                </wp:positionH>
                <wp:positionV relativeFrom="paragraph">
                  <wp:posOffset>114300</wp:posOffset>
                </wp:positionV>
                <wp:extent cx="2400300" cy="228600"/>
                <wp:effectExtent l="0" t="0" r="19050" b="19050"/>
                <wp:wrapNone/>
                <wp:docPr id="83" name="17664793a6254d40b25226604d230c5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28600"/>
                        </a:xfrm>
                        <a:prstGeom prst="rect">
                          <a:avLst/>
                        </a:prstGeom>
                        <a:solidFill>
                          <a:srgbClr val="FFFFFF"/>
                        </a:solidFill>
                        <a:ln w="9525">
                          <a:solidFill>
                            <a:srgbClr val="000000"/>
                          </a:solidFill>
                          <a:miter lim="800000"/>
                          <a:headEnd/>
                          <a:tailEnd/>
                        </a:ln>
                      </wps:spPr>
                      <wps:txbx>
                        <w:txbxContent>
                          <w:p w:rsidR="002D610B" w:rsidRPr="00CF5438" w:rsidRDefault="002D610B" w:rsidP="00BF6ACB">
                            <w:pPr>
                              <w:jc w:val="center"/>
                              <w:rPr>
                                <w:sz w:val="16"/>
                                <w:szCs w:val="16"/>
                              </w:rPr>
                            </w:pPr>
                            <w:r>
                              <w:rPr>
                                <w:sz w:val="16"/>
                              </w:rPr>
                              <w:t>Az adós megindítja a csődeljárást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7664793a6254d40b25226604d230c5c" o:spid="_x0000_s1078" type="#_x0000_t202" style="position:absolute;margin-left:-18pt;margin-top:9pt;width:189pt;height:18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">
                <v:textbox>
                  <w:txbxContent>
                    <w:p w:rsidR="002D610B" w:rsidRPr="00CF5438" w:rsidRDefault="002D610B" w:rsidP="00BF6ACB">
                      <w:pPr>
                        <w:jc w:val="center"/>
                        <w:rPr>
                          <w:sz w:val="16"/>
                          <w:szCs w:val="16"/>
                        </w:rPr>
                      </w:pPr>
                      <w:r>
                        <w:rPr>
                          <w:sz w:val="16"/>
                        </w:rPr>
                        <w:t>Az adós megindítja a csődeljárást</w:t>
                      </w:r>
                    </w:p>
                  </w:txbxContent>
                </v:textbox>
              </v:shape>
            </w:pict>
          </mc:Fallback>
        </mc:AlternateContent>
      </w:r>
    </w:p>
    <w:p w:rsidR="00BF6ACB" w:rsidRPr="003249D9" w:rsidRDefault="004057CC" w:rsidP="00BF6ACB">
      <w:pPr>
        <w:widowControl w:val="0"/>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658240" behindDoc="0" locked="0" layoutInCell="1" allowOverlap="1" wp14:anchorId="33A079A3" wp14:editId="2E672AEF">
                <wp:simplePos x="0" y="0"/>
                <wp:positionH relativeFrom="column">
                  <wp:posOffset>2543175</wp:posOffset>
                </wp:positionH>
                <wp:positionV relativeFrom="paragraph">
                  <wp:posOffset>78105</wp:posOffset>
                </wp:positionV>
                <wp:extent cx="571500" cy="114300"/>
                <wp:effectExtent l="0" t="0" r="0" b="0"/>
                <wp:wrapNone/>
                <wp:docPr id="82" name="d6c12310f6d842e4bbacca2261e4a27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10B" w:rsidRPr="000C7AAA" w:rsidRDefault="002D610B" w:rsidP="00BF6ACB">
                            <w:pPr>
                              <w:rPr>
                                <w:sz w:val="14"/>
                                <w:szCs w:val="14"/>
                              </w:rPr>
                            </w:pPr>
                            <w:r>
                              <w:rPr>
                                <w:sz w:val="14"/>
                              </w:rPr>
                              <w:t>1 üzleti nap</w:t>
                            </w: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shape id="d6c12310f6d842e4bbacca2261e4a27c" o:spid="_x0000_s1079" type="#_x0000_t202" style="position:absolute;margin-left:200.25pt;margin-top:6.15pt;width:45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" stroked="f">
                <v:textbox inset=".72pt,.72pt,.72pt,.72pt">
                  <w:txbxContent>
                    <w:p w:rsidR="002D610B" w:rsidRPr="000C7AAA" w:rsidRDefault="002D610B" w:rsidP="00BF6ACB">
                      <w:pPr>
                        <w:rPr>
                          <w:sz w:val="14"/>
                          <w:szCs w:val="14"/>
                        </w:rPr>
                      </w:pPr>
                      <w:r>
                        <w:rPr>
                          <w:sz w:val="14"/>
                        </w:rPr>
                        <w:t>1 üzleti nap</w:t>
                      </w:r>
                    </w:p>
                  </w:txbxContent>
                </v:textbox>
              </v:shape>
            </w:pict>
          </mc:Fallback>
        </mc:AlternateContent>
      </w:r>
    </w:p>
    <w:p w:rsidR="00BF6ACB" w:rsidRPr="003249D9" w:rsidRDefault="004057CC" w:rsidP="00BF6ACB">
      <w:pPr>
        <w:widowControl w:val="0"/>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565056" behindDoc="0" locked="0" layoutInCell="1" allowOverlap="1" wp14:anchorId="46E6E44F" wp14:editId="22D185DA">
                <wp:simplePos x="0" y="0"/>
                <wp:positionH relativeFrom="column">
                  <wp:posOffset>4133850</wp:posOffset>
                </wp:positionH>
                <wp:positionV relativeFrom="paragraph">
                  <wp:posOffset>160020</wp:posOffset>
                </wp:positionV>
                <wp:extent cx="800100" cy="332105"/>
                <wp:effectExtent l="0" t="0" r="0" b="0"/>
                <wp:wrapNone/>
                <wp:docPr id="81" name="77741809901f4dfe9dec811e5f78a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32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10B" w:rsidRPr="000C7AAA" w:rsidRDefault="002D610B" w:rsidP="00BF6ACB">
                            <w:pPr>
                              <w:rPr>
                                <w:sz w:val="14"/>
                                <w:szCs w:val="14"/>
                              </w:rPr>
                            </w:pPr>
                            <w:r>
                              <w:rPr>
                                <w:sz w:val="14"/>
                              </w:rPr>
                              <w:t>5 üzleti nap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77741809901f4dfe9dec811e5f78a801" o:spid="_x0000_s1080" type="#_x0000_t202" style="position:absolute;margin-left:325.5pt;margin-top:12.6pt;width:63pt;height:26.1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" stroked="f">
                <v:textbox>
                  <w:txbxContent>
                    <w:p w:rsidR="002D610B" w:rsidRPr="000C7AAA" w:rsidRDefault="002D610B" w:rsidP="00BF6ACB">
                      <w:pPr>
                        <w:rPr>
                          <w:sz w:val="14"/>
                          <w:szCs w:val="14"/>
                        </w:rPr>
                      </w:pPr>
                      <w:r>
                        <w:rPr>
                          <w:sz w:val="14"/>
                        </w:rPr>
                        <w:t>5 üzleti nap</w:t>
                      </w:r>
                    </w:p>
                  </w:txbxContent>
                </v:textbox>
              </v:shape>
            </w:pict>
          </mc:Fallback>
        </mc:AlternateContent>
      </w:r>
    </w:p>
    <w:p w:rsidR="00BF6ACB" w:rsidRPr="003249D9" w:rsidRDefault="004057CC" w:rsidP="00BF6ACB">
      <w:pPr>
        <w:widowControl w:val="0"/>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593728" behindDoc="0" locked="0" layoutInCell="1" allowOverlap="1" wp14:anchorId="5B08C194" wp14:editId="79F72C3E">
                <wp:simplePos x="0" y="0"/>
                <wp:positionH relativeFrom="column">
                  <wp:posOffset>2857500</wp:posOffset>
                </wp:positionH>
                <wp:positionV relativeFrom="paragraph">
                  <wp:posOffset>5880735</wp:posOffset>
                </wp:positionV>
                <wp:extent cx="914400" cy="571500"/>
                <wp:effectExtent l="0" t="0" r="19050" b="19050"/>
                <wp:wrapNone/>
                <wp:docPr id="80" name="0bb80229df4e44adb61f40708d6e38b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71500"/>
                        </a:xfrm>
                        <a:prstGeom prst="rect">
                          <a:avLst/>
                        </a:prstGeom>
                        <a:solidFill>
                          <a:srgbClr val="FFFFFF"/>
                        </a:solidFill>
                        <a:ln w="9525">
                          <a:solidFill>
                            <a:srgbClr val="000000"/>
                          </a:solidFill>
                          <a:miter lim="800000"/>
                          <a:headEnd/>
                          <a:tailEnd/>
                        </a:ln>
                      </wps:spPr>
                      <wps:txbx>
                        <w:txbxContent>
                          <w:p w:rsidR="002D610B" w:rsidRPr="009C1AD7" w:rsidRDefault="002D610B" w:rsidP="00BF6ACB">
                            <w:pPr>
                              <w:jc w:val="both"/>
                              <w:rPr>
                                <w:sz w:val="16"/>
                                <w:szCs w:val="16"/>
                              </w:rPr>
                            </w:pPr>
                            <w:r>
                              <w:rPr>
                                <w:sz w:val="16"/>
                              </w:rPr>
                              <w:t>A bíróság kiegészítő előírása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0bb80229df4e44adb61f40708d6e38b2" o:spid="_x0000_s1081" type="#_x0000_t202" style="position:absolute;margin-left:225pt;margin-top:463.05pt;width:1in;height:4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">
                <v:textbox>
                  <w:txbxContent>
                    <w:p w:rsidR="002D610B" w:rsidRPr="009C1AD7" w:rsidRDefault="002D610B" w:rsidP="00BF6ACB">
                      <w:pPr>
                        <w:jc w:val="both"/>
                        <w:rPr>
                          <w:sz w:val="16"/>
                          <w:szCs w:val="16"/>
                        </w:rPr>
                      </w:pPr>
                      <w:r>
                        <w:rPr>
                          <w:sz w:val="16"/>
                        </w:rPr>
                        <w:t>A bíróság kiegészítő előírása</w:t>
                      </w:r>
                    </w:p>
                  </w:txbxContent>
                </v:textbox>
              </v:shape>
            </w:pict>
          </mc:Fallback>
        </mc:AlternateContent>
      </w:r>
    </w:p>
    <w:p w:rsidR="00BF6ACB" w:rsidRPr="003249D9" w:rsidRDefault="004057CC" w:rsidP="00BF6ACB">
      <w:pPr>
        <w:widowControl w:val="0"/>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638784" behindDoc="0" locked="0" layoutInCell="1" allowOverlap="1" wp14:anchorId="1A6952CB" wp14:editId="5599EA6B">
                <wp:simplePos x="0" y="0"/>
                <wp:positionH relativeFrom="column">
                  <wp:posOffset>1600200</wp:posOffset>
                </wp:positionH>
                <wp:positionV relativeFrom="paragraph">
                  <wp:posOffset>6941185</wp:posOffset>
                </wp:positionV>
                <wp:extent cx="756920" cy="191135"/>
                <wp:effectExtent l="0" t="0" r="24130" b="18415"/>
                <wp:wrapNone/>
                <wp:docPr id="73" name="e23c0f8b7d8646e8b44d0515979499c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191135"/>
                        </a:xfrm>
                        <a:prstGeom prst="rect">
                          <a:avLst/>
                        </a:prstGeom>
                        <a:solidFill>
                          <a:srgbClr val="FFFFFF"/>
                        </a:solidFill>
                        <a:ln w="9525">
                          <a:solidFill>
                            <a:srgbClr val="FFFFFF"/>
                          </a:solidFill>
                          <a:miter lim="800000"/>
                          <a:headEnd/>
                          <a:tailEnd/>
                        </a:ln>
                      </wps:spPr>
                      <wps:txbx>
                        <w:txbxContent>
                          <w:p w:rsidR="002D610B" w:rsidRPr="000C7AAA" w:rsidRDefault="002D610B" w:rsidP="00BF6ACB">
                            <w:pPr>
                              <w:rPr>
                                <w:sz w:val="14"/>
                                <w:szCs w:val="14"/>
                              </w:rPr>
                            </w:pPr>
                            <w:r>
                              <w:rPr>
                                <w:sz w:val="14"/>
                              </w:rPr>
                              <w:t>3 üzleti nap</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23c0f8b7d8646e8b44d0515979499c1" o:spid="_x0000_s1082" type="#_x0000_t202" style="position:absolute;margin-left:126pt;margin-top:546.55pt;width:59.6pt;height:15.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" strokecolor="white">
                <v:textbox inset="3.6pt,,3.6pt">
                  <w:txbxContent>
                    <w:p w:rsidR="002D610B" w:rsidRPr="000C7AAA" w:rsidRDefault="002D610B" w:rsidP="00BF6ACB">
                      <w:pPr>
                        <w:rPr>
                          <w:sz w:val="14"/>
                          <w:szCs w:val="14"/>
                        </w:rPr>
                      </w:pPr>
                      <w:r>
                        <w:rPr>
                          <w:sz w:val="14"/>
                        </w:rPr>
                        <w:t>3 üzleti nap</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87584" behindDoc="0" locked="0" layoutInCell="1" allowOverlap="1" wp14:anchorId="0CC2FF50" wp14:editId="2FC95DE1">
                <wp:simplePos x="0" y="0"/>
                <wp:positionH relativeFrom="column">
                  <wp:posOffset>1670685</wp:posOffset>
                </wp:positionH>
                <wp:positionV relativeFrom="paragraph">
                  <wp:posOffset>5516245</wp:posOffset>
                </wp:positionV>
                <wp:extent cx="956945" cy="1405890"/>
                <wp:effectExtent l="0" t="0" r="14605" b="22860"/>
                <wp:wrapNone/>
                <wp:docPr id="72" name="5cc642726e0a41cea5f47be2cb8bbbb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45" cy="1405890"/>
                        </a:xfrm>
                        <a:prstGeom prst="rect">
                          <a:avLst/>
                        </a:prstGeom>
                        <a:solidFill>
                          <a:srgbClr val="FFFFFF"/>
                        </a:solidFill>
                        <a:ln w="9525">
                          <a:solidFill>
                            <a:srgbClr val="000000"/>
                          </a:solidFill>
                          <a:miter lim="800000"/>
                          <a:headEnd/>
                          <a:tailEnd/>
                        </a:ln>
                      </wps:spPr>
                      <wps:txbx>
                        <w:txbxContent>
                          <w:p w:rsidR="002D610B" w:rsidRDefault="002D610B" w:rsidP="00BF6ACB">
                            <w:pPr>
                              <w:rPr>
                                <w:color w:val="800080"/>
                                <w:sz w:val="16"/>
                                <w:szCs w:val="16"/>
                              </w:rPr>
                            </w:pPr>
                            <w:r>
                              <w:rPr>
                                <w:sz w:val="16"/>
                              </w:rPr>
                              <w:t>A csődeljárás lezárása, a felszámolási eljárás megkezdése, az adós fizetésképtelenségének bejelentése</w:t>
                            </w:r>
                            <w:r>
                              <w:rPr>
                                <w:b/>
                                <w:sz w:val="16"/>
                              </w:rPr>
                              <w:t xml:space="preserve"> </w:t>
                            </w:r>
                            <w:r>
                              <w:rPr>
                                <w:color w:val="800080"/>
                                <w:sz w:val="16"/>
                              </w:rPr>
                              <w:t>felszámolási eljárás elrendelése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cc642726e0a41cea5f47be2cb8bbbb8" o:spid="_x0000_s1083" type="#_x0000_t202" style="position:absolute;margin-left:131.55pt;margin-top:434.35pt;width:75.35pt;height:110.7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">
                <v:textbox>
                  <w:txbxContent>
                    <w:p w:rsidR="002D610B" w:rsidRDefault="002D610B" w:rsidP="00BF6ACB">
                      <w:pPr>
                        <w:rPr>
                          <w:color w:val="800080"/>
                          <w:sz w:val="16"/>
                          <w:szCs w:val="16"/>
                        </w:rPr>
                      </w:pPr>
                      <w:r>
                        <w:rPr>
                          <w:sz w:val="16"/>
                        </w:rPr>
                        <w:t>A csődeljárás lezárása, a felszámolási eljárás megkezdése, az adós fizetésképtelenségének bejelentése</w:t>
                      </w:r>
                      <w:r>
                        <w:rPr>
                          <w:b/>
                          <w:sz w:val="16"/>
                        </w:rPr>
                        <w:t xml:space="preserve"> </w:t>
                      </w:r>
                      <w:r>
                        <w:rPr>
                          <w:color w:val="800080"/>
                          <w:sz w:val="16"/>
                        </w:rPr>
                        <w:t>felszámolási eljárás elrendelése</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92704" behindDoc="0" locked="0" layoutInCell="1" allowOverlap="1" wp14:anchorId="5B2354F5" wp14:editId="757F1B22">
                <wp:simplePos x="0" y="0"/>
                <wp:positionH relativeFrom="column">
                  <wp:posOffset>4345305</wp:posOffset>
                </wp:positionH>
                <wp:positionV relativeFrom="paragraph">
                  <wp:posOffset>5274945</wp:posOffset>
                </wp:positionV>
                <wp:extent cx="1716405" cy="241300"/>
                <wp:effectExtent l="0" t="0" r="17145" b="25400"/>
                <wp:wrapNone/>
                <wp:docPr id="101" name="c5ccb5db89b048f99503695cbf29d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241300"/>
                        </a:xfrm>
                        <a:prstGeom prst="rect">
                          <a:avLst/>
                        </a:prstGeom>
                        <a:solidFill>
                          <a:srgbClr val="FFFFFF"/>
                        </a:solidFill>
                        <a:ln w="9525">
                          <a:solidFill>
                            <a:srgbClr val="000000"/>
                          </a:solidFill>
                          <a:miter lim="800000"/>
                          <a:headEnd/>
                          <a:tailEnd/>
                        </a:ln>
                      </wps:spPr>
                      <wps:txbx>
                        <w:txbxContent>
                          <w:p w:rsidR="002D610B" w:rsidRPr="009C1AD7" w:rsidRDefault="002D610B" w:rsidP="00BF6ACB">
                            <w:pPr>
                              <w:jc w:val="both"/>
                              <w:rPr>
                                <w:sz w:val="16"/>
                                <w:szCs w:val="16"/>
                              </w:rPr>
                            </w:pPr>
                            <w:r>
                              <w:rPr>
                                <w:sz w:val="16"/>
                              </w:rPr>
                              <w:t>A bíróság jóváhagyja a határozatot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5ccb5db89b048f99503695cbf29d135" o:spid="_x0000_s1084" type="#_x0000_t202" style="position:absolute;margin-left:342.15pt;margin-top:415.35pt;width:135.15pt;height:19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">
                <v:textbox>
                  <w:txbxContent>
                    <w:p w:rsidR="002D610B" w:rsidRPr="009C1AD7" w:rsidRDefault="002D610B" w:rsidP="00BF6ACB">
                      <w:pPr>
                        <w:jc w:val="both"/>
                        <w:rPr>
                          <w:sz w:val="16"/>
                          <w:szCs w:val="16"/>
                        </w:rPr>
                      </w:pPr>
                      <w:r>
                        <w:rPr>
                          <w:sz w:val="16"/>
                        </w:rPr>
                        <w:t>A bíróság jóváhagyja a határozatot</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82464" behindDoc="0" locked="0" layoutInCell="1" allowOverlap="1" wp14:anchorId="2840E947" wp14:editId="5D422148">
                <wp:simplePos x="0" y="0"/>
                <wp:positionH relativeFrom="column">
                  <wp:posOffset>-114935</wp:posOffset>
                </wp:positionH>
                <wp:positionV relativeFrom="paragraph">
                  <wp:posOffset>4472305</wp:posOffset>
                </wp:positionV>
                <wp:extent cx="1714500" cy="228600"/>
                <wp:effectExtent l="0" t="0" r="19050" b="19050"/>
                <wp:wrapNone/>
                <wp:docPr id="96" name="7b0276b72f7e4493b7cbd802cdba63b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solidFill>
                          <a:srgbClr val="FFFFFF"/>
                        </a:solidFill>
                        <a:ln w="9525">
                          <a:solidFill>
                            <a:srgbClr val="000000"/>
                          </a:solidFill>
                          <a:miter lim="800000"/>
                          <a:headEnd/>
                          <a:tailEnd/>
                        </a:ln>
                      </wps:spPr>
                      <wps:txbx>
                        <w:txbxContent>
                          <w:p w:rsidR="002D610B" w:rsidRPr="009C1AD7" w:rsidRDefault="002D610B" w:rsidP="00BF6ACB">
                            <w:pPr>
                              <w:jc w:val="both"/>
                              <w:rPr>
                                <w:sz w:val="16"/>
                                <w:szCs w:val="16"/>
                              </w:rPr>
                            </w:pPr>
                            <w:r>
                              <w:rPr>
                                <w:sz w:val="16"/>
                              </w:rPr>
                              <w:t>A bíróság jóváhagyja a határozatot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7b0276b72f7e4493b7cbd802cdba63bc" o:spid="_x0000_s1085" type="#_x0000_t202" style="position:absolute;margin-left:-9.05pt;margin-top:352.15pt;width:135pt;height:1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">
                <v:textbox>
                  <w:txbxContent>
                    <w:p w:rsidR="002D610B" w:rsidRPr="009C1AD7" w:rsidRDefault="002D610B" w:rsidP="00BF6ACB">
                      <w:pPr>
                        <w:jc w:val="both"/>
                        <w:rPr>
                          <w:sz w:val="16"/>
                          <w:szCs w:val="16"/>
                        </w:rPr>
                      </w:pPr>
                      <w:r>
                        <w:rPr>
                          <w:sz w:val="16"/>
                        </w:rPr>
                        <w:t>A bíróság jóváhagyja a határozatot</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77344" behindDoc="0" locked="0" layoutInCell="1" allowOverlap="1" wp14:anchorId="4D03B4DA" wp14:editId="223DE60A">
                <wp:simplePos x="0" y="0"/>
                <wp:positionH relativeFrom="column">
                  <wp:posOffset>-114935</wp:posOffset>
                </wp:positionH>
                <wp:positionV relativeFrom="paragraph">
                  <wp:posOffset>2367280</wp:posOffset>
                </wp:positionV>
                <wp:extent cx="1257300" cy="629285"/>
                <wp:effectExtent l="0" t="0" r="19050" b="18415"/>
                <wp:wrapNone/>
                <wp:docPr id="65" name="d123af10ff9e4fbaa0da7105b2f39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29285"/>
                        </a:xfrm>
                        <a:prstGeom prst="rect">
                          <a:avLst/>
                        </a:prstGeom>
                        <a:solidFill>
                          <a:srgbClr val="FFFFFF"/>
                        </a:solidFill>
                        <a:ln w="9525">
                          <a:solidFill>
                            <a:srgbClr val="000000"/>
                          </a:solidFill>
                          <a:miter lim="800000"/>
                          <a:headEnd/>
                          <a:tailEnd/>
                        </a:ln>
                      </wps:spPr>
                      <wps:txbx>
                        <w:txbxContent>
                          <w:p w:rsidR="002D610B" w:rsidRPr="00CF5438" w:rsidRDefault="002D610B" w:rsidP="00BF6ACB">
                            <w:pPr>
                              <w:jc w:val="both"/>
                              <w:rPr>
                                <w:sz w:val="16"/>
                                <w:szCs w:val="16"/>
                              </w:rPr>
                            </w:pPr>
                            <w:r>
                              <w:rPr>
                                <w:sz w:val="16"/>
                              </w:rPr>
                              <w:t>A vagyonfelügyelő nyilvántartásba veszi és besorolja a hitelezői követeléseket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123af10ff9e4fbaa0da7105b2f39121" o:spid="_x0000_s1086" type="#_x0000_t202" style="position:absolute;margin-left:-9.05pt;margin-top:186.4pt;width:99pt;height:49.5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">
                <v:textbox>
                  <w:txbxContent>
                    <w:p w:rsidR="002D610B" w:rsidRPr="00CF5438" w:rsidRDefault="002D610B" w:rsidP="00BF6ACB">
                      <w:pPr>
                        <w:jc w:val="both"/>
                        <w:rPr>
                          <w:sz w:val="16"/>
                          <w:szCs w:val="16"/>
                        </w:rPr>
                      </w:pPr>
                      <w:r>
                        <w:rPr>
                          <w:sz w:val="16"/>
                        </w:rPr>
                        <w:t>A vagyonfelügyelő nyilvántartásba veszi és besorolja a hitelezői követeléseket</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88608" behindDoc="0" locked="0" layoutInCell="1" allowOverlap="1" wp14:anchorId="3BAED51D" wp14:editId="3D329E50">
                <wp:simplePos x="0" y="0"/>
                <wp:positionH relativeFrom="column">
                  <wp:posOffset>3318510</wp:posOffset>
                </wp:positionH>
                <wp:positionV relativeFrom="paragraph">
                  <wp:posOffset>3790950</wp:posOffset>
                </wp:positionV>
                <wp:extent cx="914400" cy="457200"/>
                <wp:effectExtent l="0" t="0" r="19050" b="19050"/>
                <wp:wrapNone/>
                <wp:docPr id="98" name="b19682a1eb2e4ad5b9851e73f7edadab"/>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rsidR="002D610B" w:rsidRPr="009C1AD7" w:rsidRDefault="002D610B" w:rsidP="00BF6ACB">
                            <w:pPr>
                              <w:jc w:val="both"/>
                              <w:rPr>
                                <w:sz w:val="16"/>
                                <w:szCs w:val="16"/>
                              </w:rPr>
                            </w:pPr>
                            <w:r>
                              <w:rPr>
                                <w:sz w:val="16"/>
                              </w:rPr>
                              <w:t>Az adós módosított javaslatot tesz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19682a1eb2e4ad5b9851e73f7edadab" o:spid="_x0000_s1087" type="#_x0000_t202" style="position:absolute;margin-left:261.3pt;margin-top:298.5pt;width:1in;height:3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">
                <v:textbox>
                  <w:txbxContent>
                    <w:p w:rsidR="002D610B" w:rsidRPr="009C1AD7" w:rsidRDefault="002D610B" w:rsidP="00BF6ACB">
                      <w:pPr>
                        <w:jc w:val="both"/>
                        <w:rPr>
                          <w:sz w:val="16"/>
                          <w:szCs w:val="16"/>
                        </w:rPr>
                      </w:pPr>
                      <w:r>
                        <w:rPr>
                          <w:sz w:val="16"/>
                        </w:rPr>
                        <w:t>Az adós módosított javaslatot tesz</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84512" behindDoc="0" locked="0" layoutInCell="1" allowOverlap="1" wp14:anchorId="59F048AA" wp14:editId="72208748">
                <wp:simplePos x="0" y="0"/>
                <wp:positionH relativeFrom="column">
                  <wp:posOffset>575310</wp:posOffset>
                </wp:positionH>
                <wp:positionV relativeFrom="paragraph">
                  <wp:posOffset>5171440</wp:posOffset>
                </wp:positionV>
                <wp:extent cx="970280" cy="741680"/>
                <wp:effectExtent l="0" t="0" r="20320" b="20320"/>
                <wp:wrapNone/>
                <wp:docPr id="68" name="a283625c6fce4636b9313851bed9f9c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741680"/>
                        </a:xfrm>
                        <a:prstGeom prst="rect">
                          <a:avLst/>
                        </a:prstGeom>
                        <a:solidFill>
                          <a:srgbClr val="FFFFFF"/>
                        </a:solidFill>
                        <a:ln w="9525">
                          <a:solidFill>
                            <a:srgbClr val="000000"/>
                          </a:solidFill>
                          <a:miter lim="800000"/>
                          <a:headEnd/>
                          <a:tailEnd/>
                        </a:ln>
                      </wps:spPr>
                      <wps:txbx>
                        <w:txbxContent>
                          <w:p w:rsidR="002D610B" w:rsidRPr="009C1AD7" w:rsidRDefault="002D610B" w:rsidP="00BF6ACB">
                            <w:pPr>
                              <w:jc w:val="both"/>
                              <w:rPr>
                                <w:sz w:val="16"/>
                                <w:szCs w:val="16"/>
                              </w:rPr>
                            </w:pPr>
                            <w:r>
                              <w:rPr>
                                <w:sz w:val="16"/>
                              </w:rPr>
                              <w:t>A bíróság jóváhagyja a meghosszabbítást (maximum 365 napra)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283625c6fce4636b9313851bed9f9c5" o:spid="_x0000_s1088" type="#_x0000_t202" style="position:absolute;margin-left:45.3pt;margin-top:407.2pt;width:76.4pt;height:58.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">
                <v:textbox>
                  <w:txbxContent>
                    <w:p w:rsidR="002D610B" w:rsidRPr="009C1AD7" w:rsidRDefault="002D610B" w:rsidP="00BF6ACB">
                      <w:pPr>
                        <w:jc w:val="both"/>
                        <w:rPr>
                          <w:sz w:val="16"/>
                          <w:szCs w:val="16"/>
                        </w:rPr>
                      </w:pPr>
                      <w:r>
                        <w:rPr>
                          <w:sz w:val="16"/>
                        </w:rPr>
                        <w:t>A bíróság jóváhagyja a meghosszabbítást (maximum 365 napra)</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620352" behindDoc="0" locked="0" layoutInCell="1" allowOverlap="1" wp14:anchorId="64F2DA14" wp14:editId="53A513F2">
                <wp:simplePos x="0" y="0"/>
                <wp:positionH relativeFrom="column">
                  <wp:posOffset>5143500</wp:posOffset>
                </wp:positionH>
                <wp:positionV relativeFrom="paragraph">
                  <wp:posOffset>4161790</wp:posOffset>
                </wp:positionV>
                <wp:extent cx="800100" cy="267970"/>
                <wp:effectExtent l="0" t="0" r="19050" b="17780"/>
                <wp:wrapNone/>
                <wp:docPr id="79" name="d8c8c3b78c034056a9c05379301a4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7970"/>
                        </a:xfrm>
                        <a:prstGeom prst="rect">
                          <a:avLst/>
                        </a:prstGeom>
                        <a:solidFill>
                          <a:srgbClr val="FFFFFF"/>
                        </a:solidFill>
                        <a:ln w="9525">
                          <a:solidFill>
                            <a:srgbClr val="FFFFFF"/>
                          </a:solidFill>
                          <a:miter lim="800000"/>
                          <a:headEnd/>
                          <a:tailEnd/>
                        </a:ln>
                      </wps:spPr>
                      <wps:txbx>
                        <w:txbxContent>
                          <w:p w:rsidR="002D610B" w:rsidRPr="000C7AAA" w:rsidRDefault="002D610B" w:rsidP="00BF6ACB">
                            <w:pPr>
                              <w:rPr>
                                <w:sz w:val="14"/>
                                <w:szCs w:val="14"/>
                              </w:rPr>
                            </w:pPr>
                            <w:r>
                              <w:rPr>
                                <w:sz w:val="14"/>
                              </w:rPr>
                              <w:t>5 üzleti nap</w:t>
                            </w:r>
                          </w:p>
                        </w:txbxContent>
                      </wps:txbx>
                      <wps:bodyPr rot="0" vert="horz" wrap="square" lIns="91440" tIns="18288" rIns="91440" bIns="18288" anchor="t" anchorCtr="0" upright="1">
                        <a:noAutofit/>
                      </wps:bodyPr>
                    </wps:wsp>
                  </a:graphicData>
                </a:graphic>
                <wp14:sizeRelH relativeFrom="page">
                  <wp14:pctWidth>0</wp14:pctWidth>
                </wp14:sizeRelH>
                <wp14:sizeRelV relativeFrom="page">
                  <wp14:pctHeight>0</wp14:pctHeight>
                </wp14:sizeRelV>
              </wp:anchor>
            </w:drawing>
          </mc:Choice>
          <mc:Fallback>
            <w:pict>
              <v:shape id="d8c8c3b78c034056a9c05379301a4116" o:spid="_x0000_s1089" type="#_x0000_t202" style="position:absolute;margin-left:405pt;margin-top:327.7pt;width:63pt;height:21.1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" strokecolor="white">
                <v:textbox inset=",1.44pt,,1.44pt">
                  <w:txbxContent>
                    <w:p w:rsidR="002D610B" w:rsidRPr="000C7AAA" w:rsidRDefault="002D610B" w:rsidP="00BF6ACB">
                      <w:pPr>
                        <w:rPr>
                          <w:sz w:val="14"/>
                          <w:szCs w:val="14"/>
                        </w:rPr>
                      </w:pPr>
                      <w:r>
                        <w:rPr>
                          <w:sz w:val="14"/>
                        </w:rPr>
                        <w:t>5 üzleti nap</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621376" behindDoc="0" locked="0" layoutInCell="1" allowOverlap="1" wp14:anchorId="7EFB0D37" wp14:editId="0037032D">
                <wp:simplePos x="0" y="0"/>
                <wp:positionH relativeFrom="column">
                  <wp:posOffset>5143500</wp:posOffset>
                </wp:positionH>
                <wp:positionV relativeFrom="paragraph">
                  <wp:posOffset>4943475</wp:posOffset>
                </wp:positionV>
                <wp:extent cx="914400" cy="228600"/>
                <wp:effectExtent l="0" t="0" r="19050" b="19050"/>
                <wp:wrapNone/>
                <wp:docPr id="78" name="3de5c93dae724cbab6b3d2e095fde44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w="9525">
                          <a:solidFill>
                            <a:srgbClr val="FFFFFF"/>
                          </a:solidFill>
                          <a:miter lim="800000"/>
                          <a:headEnd/>
                          <a:tailEnd/>
                        </a:ln>
                      </wps:spPr>
                      <wps:txbx>
                        <w:txbxContent>
                          <w:p w:rsidR="002D610B" w:rsidRPr="000C7AAA" w:rsidRDefault="002D610B" w:rsidP="00BF6ACB">
                            <w:pPr>
                              <w:rPr>
                                <w:sz w:val="14"/>
                                <w:szCs w:val="14"/>
                              </w:rPr>
                            </w:pPr>
                            <w:r>
                              <w:rPr>
                                <w:sz w:val="14"/>
                              </w:rPr>
                              <w:t>15 üzleti nap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3de5c93dae724cbab6b3d2e095fde44a" o:spid="_x0000_s1090" type="#_x0000_t202" style="position:absolute;margin-left:405pt;margin-top:389.25pt;width:1in;height:1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" strokecolor="white">
                <v:textbox>
                  <w:txbxContent>
                    <w:p w:rsidR="002D610B" w:rsidRPr="000C7AAA" w:rsidRDefault="002D610B" w:rsidP="00BF6ACB">
                      <w:pPr>
                        <w:rPr>
                          <w:sz w:val="14"/>
                          <w:szCs w:val="14"/>
                        </w:rPr>
                      </w:pPr>
                      <w:r>
                        <w:rPr>
                          <w:sz w:val="14"/>
                        </w:rPr>
                        <w:t>15 üzleti nap</w:t>
                      </w:r>
                    </w:p>
                  </w:txbxContent>
                </v:textbox>
              </v:shape>
            </w:pict>
          </mc:Fallback>
        </mc:AlternateContent>
      </w:r>
      <w:r>
        <w:rPr>
          <w:rFonts w:asciiTheme="minorHAnsi" w:hAnsiTheme="minorHAnsi"/>
          <w:noProof/>
          <w:lang w:bidi="ar-SA"/>
        </w:rPr>
        <mc:AlternateContent>
          <mc:Choice Requires="wps">
            <w:drawing>
              <wp:anchor distT="0" distB="0" distL="114298" distR="114298" simplePos="0" relativeHeight="251644928" behindDoc="0" locked="0" layoutInCell="1" allowOverlap="1" wp14:anchorId="59818321" wp14:editId="58906227">
                <wp:simplePos x="0" y="0"/>
                <wp:positionH relativeFrom="column">
                  <wp:posOffset>5486399</wp:posOffset>
                </wp:positionH>
                <wp:positionV relativeFrom="paragraph">
                  <wp:posOffset>6616700</wp:posOffset>
                </wp:positionV>
                <wp:extent cx="0" cy="1069975"/>
                <wp:effectExtent l="76200" t="38100" r="57150" b="15875"/>
                <wp:wrapNone/>
                <wp:docPr id="77"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69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8" o:spid="_x0000_s1026" style="position:absolute;flip:y;z-index:2516449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in,521pt" to="6in,60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595776" behindDoc="0" locked="0" layoutInCell="1" allowOverlap="1" wp14:anchorId="3612603D" wp14:editId="7A02D77A">
                <wp:simplePos x="0" y="0"/>
                <wp:positionH relativeFrom="column">
                  <wp:posOffset>5143500</wp:posOffset>
                </wp:positionH>
                <wp:positionV relativeFrom="paragraph">
                  <wp:posOffset>5857875</wp:posOffset>
                </wp:positionV>
                <wp:extent cx="914400" cy="758825"/>
                <wp:effectExtent l="0" t="0" r="19050" b="22225"/>
                <wp:wrapNone/>
                <wp:docPr id="76" name="fea1e8be2f224507a239ddf0933d68b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58825"/>
                        </a:xfrm>
                        <a:prstGeom prst="rect">
                          <a:avLst/>
                        </a:prstGeom>
                        <a:solidFill>
                          <a:srgbClr val="FFFFFF"/>
                        </a:solidFill>
                        <a:ln w="9525">
                          <a:solidFill>
                            <a:srgbClr val="000000"/>
                          </a:solidFill>
                          <a:miter lim="800000"/>
                          <a:headEnd/>
                          <a:tailEnd/>
                        </a:ln>
                      </wps:spPr>
                      <wps:txbx>
                        <w:txbxContent>
                          <w:p w:rsidR="002D610B" w:rsidRPr="009C1AD7" w:rsidRDefault="002D610B" w:rsidP="00BF6ACB">
                            <w:pPr>
                              <w:jc w:val="both"/>
                              <w:rPr>
                                <w:sz w:val="16"/>
                                <w:szCs w:val="16"/>
                              </w:rPr>
                            </w:pPr>
                            <w:r>
                              <w:rPr>
                                <w:sz w:val="16"/>
                              </w:rPr>
                              <w:t>Bírósági jóváhagyás, a (sikeres) csődeljárás lezárása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ea1e8be2f224507a239ddf0933d68b9" o:spid="_x0000_s1091" type="#_x0000_t202" style="position:absolute;margin-left:405pt;margin-top:461.25pt;width:1in;height:59.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">
                <v:textbox>
                  <w:txbxContent>
                    <w:p w:rsidR="002D610B" w:rsidRPr="009C1AD7" w:rsidRDefault="002D610B" w:rsidP="00BF6ACB">
                      <w:pPr>
                        <w:jc w:val="both"/>
                        <w:rPr>
                          <w:sz w:val="16"/>
                          <w:szCs w:val="16"/>
                        </w:rPr>
                      </w:pPr>
                      <w:r>
                        <w:rPr>
                          <w:sz w:val="16"/>
                        </w:rPr>
                        <w:t>Bírósági jóváhagyás, a (sikeres) csődeljárás lezárása</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94752" behindDoc="0" locked="0" layoutInCell="1" allowOverlap="1" wp14:anchorId="5A1162EC" wp14:editId="680CDE75">
                <wp:simplePos x="0" y="0"/>
                <wp:positionH relativeFrom="column">
                  <wp:posOffset>3886200</wp:posOffset>
                </wp:positionH>
                <wp:positionV relativeFrom="paragraph">
                  <wp:posOffset>5797550</wp:posOffset>
                </wp:positionV>
                <wp:extent cx="1143000" cy="1317625"/>
                <wp:effectExtent l="0" t="0" r="19050" b="15875"/>
                <wp:wrapNone/>
                <wp:docPr id="75" name="9558c0b8f32e4304b31d77f81d31d75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317625"/>
                        </a:xfrm>
                        <a:prstGeom prst="rect">
                          <a:avLst/>
                        </a:prstGeom>
                        <a:solidFill>
                          <a:srgbClr val="FFFFFF"/>
                        </a:solidFill>
                        <a:ln w="9525">
                          <a:solidFill>
                            <a:srgbClr val="000000"/>
                          </a:solidFill>
                          <a:miter lim="800000"/>
                          <a:headEnd/>
                          <a:tailEnd/>
                        </a:ln>
                      </wps:spPr>
                      <wps:txbx>
                        <w:txbxContent>
                          <w:p w:rsidR="002D610B" w:rsidRPr="009C1AD7" w:rsidRDefault="002D610B" w:rsidP="00BF6ACB">
                            <w:pPr>
                              <w:jc w:val="both"/>
                              <w:rPr>
                                <w:sz w:val="16"/>
                                <w:szCs w:val="16"/>
                              </w:rPr>
                            </w:pPr>
                            <w:r>
                              <w:rPr>
                                <w:sz w:val="16"/>
                              </w:rPr>
                              <w:t>Az egyezség nem felel meg az előírásoknak: bírósági elutasítás, a felszámolási eljárás megkezdése és az adós fizetésképtelenségének bejelentése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9558c0b8f32e4304b31d77f81d31d75c" o:spid="_x0000_s1092" type="#_x0000_t202" style="position:absolute;margin-left:306pt;margin-top:456.5pt;width:90pt;height:103.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">
                <v:textbox>
                  <w:txbxContent>
                    <w:p w:rsidR="002D610B" w:rsidRPr="009C1AD7" w:rsidRDefault="002D610B" w:rsidP="00BF6ACB">
                      <w:pPr>
                        <w:jc w:val="both"/>
                        <w:rPr>
                          <w:sz w:val="16"/>
                          <w:szCs w:val="16"/>
                        </w:rPr>
                      </w:pPr>
                      <w:r>
                        <w:rPr>
                          <w:sz w:val="16"/>
                        </w:rPr>
                        <w:t>Az egyezség nem felel meg az előírásoknak: bírósági elutasítás, a felszámolási eljárás megkezdése és az adós fizetésképtelenségének bejelentése</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628544" behindDoc="0" locked="0" layoutInCell="1" allowOverlap="1" wp14:anchorId="50BF2FD4" wp14:editId="519AC57C">
                <wp:simplePos x="0" y="0"/>
                <wp:positionH relativeFrom="column">
                  <wp:posOffset>4486275</wp:posOffset>
                </wp:positionH>
                <wp:positionV relativeFrom="paragraph">
                  <wp:posOffset>5514975</wp:posOffset>
                </wp:positionV>
                <wp:extent cx="314325" cy="282575"/>
                <wp:effectExtent l="38100" t="0" r="28575" b="60325"/>
                <wp:wrapNone/>
                <wp:docPr id="74"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 cy="282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5" o:spid="_x0000_s1026" style="position:absolute;flip:x;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5pt,434.25pt" to="378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589632" behindDoc="0" locked="0" layoutInCell="1" allowOverlap="1" wp14:anchorId="39970E59" wp14:editId="730E402D">
                <wp:simplePos x="0" y="0"/>
                <wp:positionH relativeFrom="column">
                  <wp:posOffset>3429000</wp:posOffset>
                </wp:positionH>
                <wp:positionV relativeFrom="paragraph">
                  <wp:posOffset>4600575</wp:posOffset>
                </wp:positionV>
                <wp:extent cx="800100" cy="633730"/>
                <wp:effectExtent l="0" t="0" r="19050" b="13970"/>
                <wp:wrapNone/>
                <wp:docPr id="71" name="a35d74487edd4c729869e2866300876f"/>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33730"/>
                        </a:xfrm>
                        <a:prstGeom prst="rect">
                          <a:avLst/>
                        </a:prstGeom>
                        <a:solidFill>
                          <a:srgbClr val="FFFFFF"/>
                        </a:solidFill>
                        <a:ln w="9525">
                          <a:solidFill>
                            <a:srgbClr val="000000"/>
                          </a:solidFill>
                          <a:miter lim="800000"/>
                          <a:headEnd/>
                          <a:tailEnd/>
                        </a:ln>
                      </wps:spPr>
                      <wps:txbx>
                        <w:txbxContent>
                          <w:p w:rsidR="002D610B" w:rsidRPr="009C1AD7" w:rsidRDefault="002D610B" w:rsidP="00BF6ACB">
                            <w:pPr>
                              <w:jc w:val="both"/>
                              <w:rPr>
                                <w:sz w:val="16"/>
                                <w:szCs w:val="16"/>
                              </w:rPr>
                            </w:pPr>
                            <w:r>
                              <w:rPr>
                                <w:sz w:val="16"/>
                              </w:rPr>
                              <w:t>További tárgyalások a hitelezőkkel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35d74487edd4c729869e2866300876f" o:spid="_x0000_s1093" type="#_x0000_t202" style="position:absolute;margin-left:270pt;margin-top:362.25pt;width:63pt;height:49.9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">
                <v:textbox>
                  <w:txbxContent>
                    <w:p w:rsidR="002D610B" w:rsidRPr="009C1AD7" w:rsidRDefault="002D610B" w:rsidP="00BF6ACB">
                      <w:pPr>
                        <w:jc w:val="both"/>
                        <w:rPr>
                          <w:sz w:val="16"/>
                          <w:szCs w:val="16"/>
                        </w:rPr>
                      </w:pPr>
                      <w:r>
                        <w:rPr>
                          <w:sz w:val="16"/>
                        </w:rPr>
                        <w:t>További tárgyalások a hitelezőkkel</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85536" behindDoc="0" locked="0" layoutInCell="1" allowOverlap="1" wp14:anchorId="04C0E202" wp14:editId="76AB0A2A">
                <wp:simplePos x="0" y="0"/>
                <wp:positionH relativeFrom="column">
                  <wp:posOffset>2057400</wp:posOffset>
                </wp:positionH>
                <wp:positionV relativeFrom="paragraph">
                  <wp:posOffset>3800475</wp:posOffset>
                </wp:positionV>
                <wp:extent cx="1143000" cy="497205"/>
                <wp:effectExtent l="0" t="0" r="19050" b="17145"/>
                <wp:wrapNone/>
                <wp:docPr id="70" name="adeae78852f34b3480f62897d25c858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97205"/>
                        </a:xfrm>
                        <a:prstGeom prst="rect">
                          <a:avLst/>
                        </a:prstGeom>
                        <a:solidFill>
                          <a:srgbClr val="FFFFFF"/>
                        </a:solidFill>
                        <a:ln w="9525">
                          <a:solidFill>
                            <a:srgbClr val="000000"/>
                          </a:solidFill>
                          <a:miter lim="800000"/>
                          <a:headEnd/>
                          <a:tailEnd/>
                        </a:ln>
                      </wps:spPr>
                      <wps:txbx>
                        <w:txbxContent>
                          <w:p w:rsidR="002D610B" w:rsidRPr="009C1AD7" w:rsidRDefault="002D610B" w:rsidP="00BF6ACB">
                            <w:pPr>
                              <w:jc w:val="both"/>
                              <w:rPr>
                                <w:sz w:val="16"/>
                                <w:szCs w:val="16"/>
                              </w:rPr>
                            </w:pPr>
                            <w:r>
                              <w:rPr>
                                <w:sz w:val="16"/>
                              </w:rPr>
                              <w:t>Az adós nem vizsgálja felül a csődegyezségi javaslatot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deae78852f34b3480f62897d25c858e" o:spid="_x0000_s1094" type="#_x0000_t202" style="position:absolute;margin-left:162pt;margin-top:299.25pt;width:90pt;height:39.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">
                <v:textbox>
                  <w:txbxContent>
                    <w:p w:rsidR="002D610B" w:rsidRPr="009C1AD7" w:rsidRDefault="002D610B" w:rsidP="00BF6ACB">
                      <w:pPr>
                        <w:jc w:val="both"/>
                        <w:rPr>
                          <w:sz w:val="16"/>
                          <w:szCs w:val="16"/>
                        </w:rPr>
                      </w:pPr>
                      <w:r>
                        <w:rPr>
                          <w:sz w:val="16"/>
                        </w:rPr>
                        <w:t>Az adós nem vizsgálja felül a csődegyezségi javaslatot</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80416" behindDoc="0" locked="0" layoutInCell="1" allowOverlap="1" wp14:anchorId="1AB1EA3E" wp14:editId="3673FF1A">
                <wp:simplePos x="0" y="0"/>
                <wp:positionH relativeFrom="column">
                  <wp:posOffset>4457700</wp:posOffset>
                </wp:positionH>
                <wp:positionV relativeFrom="paragraph">
                  <wp:posOffset>3000375</wp:posOffset>
                </wp:positionV>
                <wp:extent cx="1485900" cy="500380"/>
                <wp:effectExtent l="0" t="0" r="19050" b="13970"/>
                <wp:wrapNone/>
                <wp:docPr id="69" name="4a0dd54e9c144a1a906bece6fba219b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00380"/>
                        </a:xfrm>
                        <a:prstGeom prst="rect">
                          <a:avLst/>
                        </a:prstGeom>
                        <a:solidFill>
                          <a:srgbClr val="FFFFFF"/>
                        </a:solidFill>
                        <a:ln w="9525">
                          <a:solidFill>
                            <a:srgbClr val="000000"/>
                          </a:solidFill>
                          <a:miter lim="800000"/>
                          <a:headEnd/>
                          <a:tailEnd/>
                        </a:ln>
                      </wps:spPr>
                      <wps:txbx>
                        <w:txbxContent>
                          <w:p w:rsidR="002D610B" w:rsidRPr="009C1AD7" w:rsidRDefault="002D610B" w:rsidP="00BF6ACB">
                            <w:pPr>
                              <w:jc w:val="both"/>
                              <w:rPr>
                                <w:sz w:val="16"/>
                                <w:szCs w:val="16"/>
                              </w:rPr>
                            </w:pPr>
                            <w:r>
                              <w:rPr>
                                <w:sz w:val="16"/>
                              </w:rPr>
                              <w:t>A hitelezők megfelelő arányban jóváhagyják a csődegyezségi javaslatot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4a0dd54e9c144a1a906bece6fba219b9" o:spid="_x0000_s1095" type="#_x0000_t202" style="position:absolute;margin-left:351pt;margin-top:236.25pt;width:117pt;height:39.4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">
                <v:textbox>
                  <w:txbxContent>
                    <w:p w:rsidR="002D610B" w:rsidRPr="009C1AD7" w:rsidRDefault="002D610B" w:rsidP="00BF6ACB">
                      <w:pPr>
                        <w:jc w:val="both"/>
                        <w:rPr>
                          <w:sz w:val="16"/>
                          <w:szCs w:val="16"/>
                        </w:rPr>
                      </w:pPr>
                      <w:r>
                        <w:rPr>
                          <w:sz w:val="16"/>
                        </w:rPr>
                        <w:t>A hitelezők megfelelő arányban jóváhagyják a csődegyezségi javaslatot</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81440" behindDoc="0" locked="0" layoutInCell="1" allowOverlap="1" wp14:anchorId="1B0E533A" wp14:editId="0F9B9630">
                <wp:simplePos x="0" y="0"/>
                <wp:positionH relativeFrom="column">
                  <wp:posOffset>-114300</wp:posOffset>
                </wp:positionH>
                <wp:positionV relativeFrom="paragraph">
                  <wp:posOffset>3686175</wp:posOffset>
                </wp:positionV>
                <wp:extent cx="1714500" cy="475615"/>
                <wp:effectExtent l="0" t="0" r="19050" b="19685"/>
                <wp:wrapNone/>
                <wp:docPr id="67" name="ff5e81c319b744c89768821f50c5cfa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75615"/>
                        </a:xfrm>
                        <a:prstGeom prst="rect">
                          <a:avLst/>
                        </a:prstGeom>
                        <a:solidFill>
                          <a:srgbClr val="FFFFFF"/>
                        </a:solidFill>
                        <a:ln w="9525">
                          <a:solidFill>
                            <a:srgbClr val="000000"/>
                          </a:solidFill>
                          <a:miter lim="800000"/>
                          <a:headEnd/>
                          <a:tailEnd/>
                        </a:ln>
                      </wps:spPr>
                      <wps:txbx>
                        <w:txbxContent>
                          <w:p w:rsidR="002D610B" w:rsidRPr="009C1AD7" w:rsidRDefault="002D610B" w:rsidP="00BF6ACB">
                            <w:pPr>
                              <w:jc w:val="both"/>
                              <w:rPr>
                                <w:sz w:val="16"/>
                                <w:szCs w:val="16"/>
                              </w:rPr>
                            </w:pPr>
                            <w:r>
                              <w:rPr>
                                <w:sz w:val="16"/>
                              </w:rPr>
                              <w:t xml:space="preserve">A vagyonfelügyelő </w:t>
                            </w:r>
                            <w:proofErr w:type="spellStart"/>
                            <w:r>
                              <w:rPr>
                                <w:sz w:val="16"/>
                              </w:rPr>
                              <w:t>ellenjegyzi</w:t>
                            </w:r>
                            <w:proofErr w:type="spellEnd"/>
                            <w:r>
                              <w:rPr>
                                <w:sz w:val="16"/>
                              </w:rPr>
                              <w:t xml:space="preserve"> a hitelezők határozatát és továbbítja a bíróságnak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f5e81c319b744c89768821f50c5cfa0" o:spid="_x0000_s1096" type="#_x0000_t202" style="position:absolute;margin-left:-9pt;margin-top:290.25pt;width:135pt;height:37.4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">
                <v:textbox>
                  <w:txbxContent>
                    <w:p w:rsidR="002D610B" w:rsidRPr="009C1AD7" w:rsidRDefault="002D610B" w:rsidP="00BF6ACB">
                      <w:pPr>
                        <w:jc w:val="both"/>
                        <w:rPr>
                          <w:sz w:val="16"/>
                          <w:szCs w:val="16"/>
                        </w:rPr>
                      </w:pPr>
                      <w:r>
                        <w:rPr>
                          <w:sz w:val="16"/>
                        </w:rPr>
                        <w:t xml:space="preserve">A vagyonfelügyelő </w:t>
                      </w:r>
                      <w:proofErr w:type="spellStart"/>
                      <w:r>
                        <w:rPr>
                          <w:sz w:val="16"/>
                        </w:rPr>
                        <w:t>ellenjegyzi</w:t>
                      </w:r>
                      <w:proofErr w:type="spellEnd"/>
                      <w:r>
                        <w:rPr>
                          <w:sz w:val="16"/>
                        </w:rPr>
                        <w:t xml:space="preserve"> a hitelezők határozatát és továbbítja a bíróságnak</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578368" behindDoc="0" locked="0" layoutInCell="1" allowOverlap="1" wp14:anchorId="5EDD792A" wp14:editId="717E3644">
                <wp:simplePos x="0" y="0"/>
                <wp:positionH relativeFrom="column">
                  <wp:posOffset>1600200</wp:posOffset>
                </wp:positionH>
                <wp:positionV relativeFrom="paragraph">
                  <wp:posOffset>3000375</wp:posOffset>
                </wp:positionV>
                <wp:extent cx="1143000" cy="539750"/>
                <wp:effectExtent l="0" t="0" r="19050" b="12700"/>
                <wp:wrapNone/>
                <wp:docPr id="66" name="333c15f87cde4a88b978014a526ec4f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39750"/>
                        </a:xfrm>
                        <a:prstGeom prst="rect">
                          <a:avLst/>
                        </a:prstGeom>
                        <a:solidFill>
                          <a:srgbClr val="FFFFFF"/>
                        </a:solidFill>
                        <a:ln w="9525">
                          <a:solidFill>
                            <a:srgbClr val="000000"/>
                          </a:solidFill>
                          <a:miter lim="800000"/>
                          <a:headEnd/>
                          <a:tailEnd/>
                        </a:ln>
                      </wps:spPr>
                      <wps:txbx>
                        <w:txbxContent>
                          <w:p w:rsidR="002D610B" w:rsidRPr="009C1AD7" w:rsidRDefault="002D610B" w:rsidP="00BF6ACB">
                            <w:pPr>
                              <w:jc w:val="both"/>
                              <w:rPr>
                                <w:sz w:val="16"/>
                                <w:szCs w:val="16"/>
                              </w:rPr>
                            </w:pPr>
                            <w:r>
                              <w:rPr>
                                <w:sz w:val="16"/>
                              </w:rPr>
                              <w:t>Az adós kérelmezi a moratórium meghosszabbítását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333c15f87cde4a88b978014a526ec4f8" o:spid="_x0000_s1097" type="#_x0000_t202" style="position:absolute;margin-left:126pt;margin-top:236.25pt;width:90pt;height:4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">
                <v:textbox>
                  <w:txbxContent>
                    <w:p w:rsidR="002D610B" w:rsidRPr="009C1AD7" w:rsidRDefault="002D610B" w:rsidP="00BF6ACB">
                      <w:pPr>
                        <w:jc w:val="both"/>
                        <w:rPr>
                          <w:sz w:val="16"/>
                          <w:szCs w:val="16"/>
                        </w:rPr>
                      </w:pPr>
                      <w:r>
                        <w:rPr>
                          <w:sz w:val="16"/>
                        </w:rPr>
                        <w:t>Az adós kérelmezi a moratórium meghosszabbítását</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607040" behindDoc="0" locked="0" layoutInCell="1" allowOverlap="1" wp14:anchorId="11F4D221" wp14:editId="782E0664">
                <wp:simplePos x="0" y="0"/>
                <wp:positionH relativeFrom="column">
                  <wp:posOffset>2181225</wp:posOffset>
                </wp:positionH>
                <wp:positionV relativeFrom="paragraph">
                  <wp:posOffset>1184275</wp:posOffset>
                </wp:positionV>
                <wp:extent cx="914400" cy="228600"/>
                <wp:effectExtent l="0" t="0" r="19050" b="19050"/>
                <wp:wrapNone/>
                <wp:docPr id="64" name="9ab7127deede47b08cf60a8347460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2D610B" w:rsidRPr="000C7AAA" w:rsidRDefault="002D610B" w:rsidP="00BF6ACB">
                            <w:pPr>
                              <w:rPr>
                                <w:sz w:val="14"/>
                                <w:szCs w:val="14"/>
                              </w:rPr>
                            </w:pPr>
                            <w:r>
                              <w:rPr>
                                <w:sz w:val="14"/>
                              </w:rPr>
                              <w:t>30 napon belül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9ab7127deede47b08cf60a8347460629" o:spid="_x0000_s1098" type="#_x0000_t202" style="position:absolute;margin-left:171.75pt;margin-top:93.25pt;width:1in;height:18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" filled="f" strokecolor="white">
                <v:textbox>
                  <w:txbxContent>
                    <w:p w:rsidR="002D610B" w:rsidRPr="000C7AAA" w:rsidRDefault="002D610B" w:rsidP="00BF6ACB">
                      <w:pPr>
                        <w:rPr>
                          <w:sz w:val="14"/>
                          <w:szCs w:val="14"/>
                        </w:rPr>
                      </w:pPr>
                      <w:r>
                        <w:rPr>
                          <w:sz w:val="14"/>
                        </w:rPr>
                        <w:t>30 napon belül</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650048" behindDoc="0" locked="0" layoutInCell="1" allowOverlap="1" wp14:anchorId="18B81255" wp14:editId="68A3FED9">
                <wp:simplePos x="0" y="0"/>
                <wp:positionH relativeFrom="column">
                  <wp:posOffset>4029075</wp:posOffset>
                </wp:positionH>
                <wp:positionV relativeFrom="paragraph">
                  <wp:posOffset>3390265</wp:posOffset>
                </wp:positionV>
                <wp:extent cx="457200" cy="1162050"/>
                <wp:effectExtent l="0" t="38100" r="57150" b="19050"/>
                <wp:wrapNone/>
                <wp:docPr id="6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162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25pt,266.95pt" to="353.25pt,3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">
                <v:stroke endarrow="block"/>
              </v:line>
            </w:pict>
          </mc:Fallback>
        </mc:AlternateContent>
      </w:r>
      <w:r>
        <w:rPr>
          <w:rFonts w:asciiTheme="minorHAnsi" w:hAnsiTheme="minorHAnsi"/>
          <w:noProof/>
          <w:lang w:bidi="ar-SA"/>
        </w:rPr>
        <mc:AlternateContent>
          <mc:Choice Requires="wps">
            <w:drawing>
              <wp:anchor distT="0" distB="0" distL="114298" distR="114298" simplePos="0" relativeHeight="251631616" behindDoc="0" locked="0" layoutInCell="1" allowOverlap="1" wp14:anchorId="7674BEF8" wp14:editId="77CF1EC2">
                <wp:simplePos x="0" y="0"/>
                <wp:positionH relativeFrom="column">
                  <wp:posOffset>3657599</wp:posOffset>
                </wp:positionH>
                <wp:positionV relativeFrom="paragraph">
                  <wp:posOffset>6247130</wp:posOffset>
                </wp:positionV>
                <wp:extent cx="0" cy="933450"/>
                <wp:effectExtent l="76200" t="0" r="76200" b="57150"/>
                <wp:wrapNone/>
                <wp:docPr id="62"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8" o:spid="_x0000_s1026" style="position:absolute;z-index:251631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in,491.9pt" to="4in,5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630592" behindDoc="0" locked="0" layoutInCell="1" allowOverlap="1" wp14:anchorId="5FDC039E" wp14:editId="1683AA14">
                <wp:simplePos x="0" y="0"/>
                <wp:positionH relativeFrom="column">
                  <wp:posOffset>2286000</wp:posOffset>
                </wp:positionH>
                <wp:positionV relativeFrom="paragraph">
                  <wp:posOffset>6247130</wp:posOffset>
                </wp:positionV>
                <wp:extent cx="857250" cy="933450"/>
                <wp:effectExtent l="38100" t="0" r="19050" b="57150"/>
                <wp:wrapNone/>
                <wp:docPr id="61"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933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7" o:spid="_x0000_s1026" style="position:absolute;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491.9pt" to="247.5pt,5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629568" behindDoc="0" locked="0" layoutInCell="1" allowOverlap="1" wp14:anchorId="54208766" wp14:editId="7EF72E7D">
                <wp:simplePos x="0" y="0"/>
                <wp:positionH relativeFrom="column">
                  <wp:posOffset>3771900</wp:posOffset>
                </wp:positionH>
                <wp:positionV relativeFrom="paragraph">
                  <wp:posOffset>5466080</wp:posOffset>
                </wp:positionV>
                <wp:extent cx="800100" cy="276225"/>
                <wp:effectExtent l="38100" t="0" r="19050" b="66675"/>
                <wp:wrapNone/>
                <wp:docPr id="60"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26" style="position:absolute;flip:x;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430.4pt" to="5in,4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626496" behindDoc="0" locked="0" layoutInCell="1" allowOverlap="1" wp14:anchorId="6BBF7AD4" wp14:editId="2BD7F5CD">
                <wp:simplePos x="0" y="0"/>
                <wp:positionH relativeFrom="column">
                  <wp:posOffset>2428875</wp:posOffset>
                </wp:positionH>
                <wp:positionV relativeFrom="paragraph">
                  <wp:posOffset>4371340</wp:posOffset>
                </wp:positionV>
                <wp:extent cx="685800" cy="190500"/>
                <wp:effectExtent l="0" t="0" r="19050" b="19050"/>
                <wp:wrapNone/>
                <wp:docPr id="59" name="6307f80e2eac4df7ae70fb1ae8a397ef"/>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90500"/>
                        </a:xfrm>
                        <a:prstGeom prst="rect">
                          <a:avLst/>
                        </a:prstGeom>
                        <a:solidFill>
                          <a:srgbClr val="FFFFFF"/>
                        </a:solidFill>
                        <a:ln w="9525">
                          <a:solidFill>
                            <a:srgbClr val="FFFFFF"/>
                          </a:solidFill>
                          <a:miter lim="800000"/>
                          <a:headEnd/>
                          <a:tailEnd/>
                        </a:ln>
                      </wps:spPr>
                      <wps:txbx>
                        <w:txbxContent>
                          <w:p w:rsidR="002D610B" w:rsidRPr="000C7AAA" w:rsidRDefault="002D610B" w:rsidP="00BF6ACB">
                            <w:pPr>
                              <w:rPr>
                                <w:sz w:val="14"/>
                                <w:szCs w:val="14"/>
                              </w:rPr>
                            </w:pPr>
                            <w:proofErr w:type="gramStart"/>
                            <w:r>
                              <w:rPr>
                                <w:sz w:val="14"/>
                              </w:rPr>
                              <w:t>azonnal</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6307f80e2eac4df7ae70fb1ae8a397ef" o:spid="_x0000_s1099" type="#_x0000_t202" style="position:absolute;margin-left:191.25pt;margin-top:344.2pt;width:54pt;height: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" strokecolor="white">
                <v:textbox>
                  <w:txbxContent>
                    <w:p w:rsidR="002D610B" w:rsidRPr="000C7AAA" w:rsidRDefault="002D610B" w:rsidP="00BF6ACB">
                      <w:pPr>
                        <w:rPr>
                          <w:sz w:val="14"/>
                          <w:szCs w:val="14"/>
                        </w:rPr>
                      </w:pPr>
                      <w:proofErr w:type="gramStart"/>
                      <w:r>
                        <w:rPr>
                          <w:sz w:val="14"/>
                        </w:rPr>
                        <w:t>azonnal</w:t>
                      </w:r>
                      <w:proofErr w:type="gramEnd"/>
                    </w:p>
                  </w:txbxContent>
                </v:textbox>
              </v:shape>
            </w:pict>
          </mc:Fallback>
        </mc:AlternateContent>
      </w:r>
      <w:r w:rsidR="003B56B3" w:rsidRPr="003249D9">
        <w:br w:type="page"/>
      </w:r>
    </w:p>
    <w:p w:rsidR="00BF6ACB" w:rsidRPr="003249D9" w:rsidRDefault="00AB7CFF" w:rsidP="00BF6ACB">
      <w:pPr>
        <w:pStyle w:val="TASSubsection"/>
        <w:framePr w:wrap="around"/>
        <w:rPr>
          <w:rFonts w:asciiTheme="minorHAnsi" w:hAnsiTheme="minorHAnsi"/>
        </w:rPr>
      </w:pPr>
      <w:bookmarkStart w:id="35" w:name="_Toc401154930"/>
      <w:bookmarkStart w:id="36" w:name="_Toc403750033"/>
      <w:r w:rsidRPr="003249D9">
        <w:rPr>
          <w:rFonts w:asciiTheme="minorHAnsi" w:hAnsiTheme="minorHAnsi"/>
        </w:rPr>
        <w:lastRenderedPageBreak/>
        <w:t>C melléklet</w:t>
      </w:r>
      <w:bookmarkEnd w:id="35"/>
      <w:bookmarkEnd w:id="36"/>
    </w:p>
    <w:p w:rsidR="00BF6ACB" w:rsidRPr="003249D9" w:rsidRDefault="00AB7CFF" w:rsidP="00BF6ACB">
      <w:pPr>
        <w:pStyle w:val="TASStraplinefirst"/>
        <w:framePr w:wrap="notBeside"/>
        <w:rPr>
          <w:rFonts w:asciiTheme="minorHAnsi" w:hAnsiTheme="minorHAnsi"/>
        </w:rPr>
      </w:pPr>
      <w:r w:rsidRPr="003249D9">
        <w:rPr>
          <w:rFonts w:asciiTheme="minorHAnsi" w:hAnsiTheme="minorHAnsi"/>
        </w:rPr>
        <w:t>A FELSZÁMOLÁSI ELJÁRÁS ALAPLÉPÉSEINEK FOLYMATÁBRÁJA</w:t>
      </w:r>
    </w:p>
    <w:p w:rsidR="00BF6ACB" w:rsidRPr="003249D9" w:rsidRDefault="00BF6ACB" w:rsidP="00BF6ACB">
      <w:pPr>
        <w:widowControl w:val="0"/>
        <w:jc w:val="center"/>
        <w:rPr>
          <w:rFonts w:asciiTheme="minorHAnsi" w:hAnsiTheme="minorHAnsi"/>
          <w:b/>
          <w:caps/>
          <w:sz w:val="24"/>
          <w:szCs w:val="24"/>
        </w:rPr>
      </w:pPr>
    </w:p>
    <w:p w:rsidR="00BF6ACB" w:rsidRPr="003249D9" w:rsidRDefault="004057CC" w:rsidP="00BF6ACB">
      <w:pPr>
        <w:widowControl w:val="0"/>
        <w:rPr>
          <w:rFonts w:asciiTheme="minorHAnsi" w:hAnsiTheme="minorHAnsi"/>
        </w:rPr>
      </w:pPr>
      <w:r>
        <w:rPr>
          <w:rFonts w:asciiTheme="minorHAnsi" w:hAnsiTheme="minorHAnsi"/>
          <w:noProof/>
          <w:lang w:bidi="ar-SA"/>
        </w:rPr>
        <mc:AlternateContent>
          <mc:Choice Requires="wps">
            <w:drawing>
              <wp:anchor distT="0" distB="0" distL="114300" distR="114300" simplePos="0" relativeHeight="251687936" behindDoc="0" locked="0" layoutInCell="1" allowOverlap="1" wp14:anchorId="16FD8AC6" wp14:editId="17C1847B">
                <wp:simplePos x="0" y="0"/>
                <wp:positionH relativeFrom="column">
                  <wp:posOffset>1371600</wp:posOffset>
                </wp:positionH>
                <wp:positionV relativeFrom="paragraph">
                  <wp:posOffset>154305</wp:posOffset>
                </wp:positionV>
                <wp:extent cx="2058035" cy="480060"/>
                <wp:effectExtent l="0" t="0" r="18415" b="15240"/>
                <wp:wrapNone/>
                <wp:docPr id="58" name="0295ea1529f94e04856f319e731bdf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480060"/>
                        </a:xfrm>
                        <a:prstGeom prst="rect">
                          <a:avLst/>
                        </a:prstGeom>
                        <a:solidFill>
                          <a:srgbClr val="FFFFFF"/>
                        </a:solidFill>
                        <a:ln w="9525">
                          <a:solidFill>
                            <a:srgbClr val="000000"/>
                          </a:solidFill>
                          <a:miter lim="800000"/>
                          <a:headEnd/>
                          <a:tailEnd/>
                        </a:ln>
                      </wps:spPr>
                      <wps:txbx>
                        <w:txbxContent>
                          <w:p w:rsidR="002D610B" w:rsidRPr="00E9631F" w:rsidRDefault="002D610B" w:rsidP="00BF6ACB">
                            <w:pPr>
                              <w:jc w:val="center"/>
                              <w:rPr>
                                <w:sz w:val="20"/>
                                <w:szCs w:val="20"/>
                              </w:rPr>
                            </w:pPr>
                            <w:r>
                              <w:rPr>
                                <w:sz w:val="20"/>
                              </w:rPr>
                              <w:t>A felszámolási kérelem benyújtása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0295ea1529f94e04856f319e731bdf66" o:spid="_x0000_s1100" type="#_x0000_t202" style="position:absolute;margin-left:108pt;margin-top:12.15pt;width:162.05pt;height:37.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">
                <v:textbox>
                  <w:txbxContent>
                    <w:p w:rsidR="002D610B" w:rsidRPr="00E9631F" w:rsidRDefault="002D610B" w:rsidP="00BF6ACB">
                      <w:pPr>
                        <w:jc w:val="center"/>
                        <w:rPr>
                          <w:sz w:val="20"/>
                          <w:szCs w:val="20"/>
                        </w:rPr>
                      </w:pPr>
                      <w:r>
                        <w:rPr>
                          <w:sz w:val="20"/>
                        </w:rPr>
                        <w:t>A felszámolási kérelem benyújtása</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674624" behindDoc="0" locked="0" layoutInCell="1" allowOverlap="1" wp14:anchorId="76041F26" wp14:editId="172BE50D">
                <wp:simplePos x="0" y="0"/>
                <wp:positionH relativeFrom="column">
                  <wp:posOffset>4686300</wp:posOffset>
                </wp:positionH>
                <wp:positionV relativeFrom="paragraph">
                  <wp:posOffset>1668780</wp:posOffset>
                </wp:positionV>
                <wp:extent cx="666750" cy="628650"/>
                <wp:effectExtent l="0" t="0" r="76200" b="57150"/>
                <wp:wrapNone/>
                <wp:docPr id="57"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628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31.4pt" to="421.5pt,1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">
                <v:stroke endarrow="block"/>
              </v:line>
            </w:pict>
          </mc:Fallback>
        </mc:AlternateContent>
      </w:r>
      <w:r>
        <w:rPr>
          <w:rFonts w:asciiTheme="minorHAnsi" w:hAnsiTheme="minorHAnsi"/>
          <w:noProof/>
          <w:lang w:bidi="ar-SA"/>
        </w:rPr>
        <mc:AlternateContent>
          <mc:Choice Requires="wps">
            <w:drawing>
              <wp:anchor distT="4294967294" distB="4294967294" distL="114300" distR="114300" simplePos="0" relativeHeight="251665408" behindDoc="0" locked="0" layoutInCell="1" allowOverlap="1" wp14:anchorId="09FEDAF3" wp14:editId="11224ABC">
                <wp:simplePos x="0" y="0"/>
                <wp:positionH relativeFrom="column">
                  <wp:posOffset>3390900</wp:posOffset>
                </wp:positionH>
                <wp:positionV relativeFrom="paragraph">
                  <wp:posOffset>1021079</wp:posOffset>
                </wp:positionV>
                <wp:extent cx="695325" cy="0"/>
                <wp:effectExtent l="0" t="76200" r="28575" b="95250"/>
                <wp:wrapNone/>
                <wp:docPr id="56"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3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7pt,80.4pt" to="321.75pt,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661312" behindDoc="0" locked="0" layoutInCell="1" allowOverlap="1" wp14:anchorId="6B99D973" wp14:editId="0837F1BD">
                <wp:simplePos x="0" y="0"/>
                <wp:positionH relativeFrom="column">
                  <wp:posOffset>4914900</wp:posOffset>
                </wp:positionH>
                <wp:positionV relativeFrom="paragraph">
                  <wp:posOffset>182880</wp:posOffset>
                </wp:positionV>
                <wp:extent cx="1371600" cy="571500"/>
                <wp:effectExtent l="0" t="0" r="19050" b="19050"/>
                <wp:wrapNone/>
                <wp:docPr id="55" name="302300be341048f9bdcaf2549311347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rsidR="002D610B" w:rsidRPr="00E9631F" w:rsidRDefault="002D610B" w:rsidP="00BF6ACB">
                            <w:pPr>
                              <w:jc w:val="center"/>
                              <w:rPr>
                                <w:sz w:val="20"/>
                                <w:szCs w:val="20"/>
                              </w:rPr>
                            </w:pPr>
                            <w:r>
                              <w:rPr>
                                <w:sz w:val="20"/>
                              </w:rPr>
                              <w:t>A felszámolási eljárás folytatása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302300be341048f9bdcaf2549311347c" o:spid="_x0000_s1101" type="#_x0000_t202" style="position:absolute;margin-left:387pt;margin-top:14.4pt;width:108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">
                <v:textbox>
                  <w:txbxContent>
                    <w:p w:rsidR="002D610B" w:rsidRPr="00E9631F" w:rsidRDefault="002D610B" w:rsidP="00BF6ACB">
                      <w:pPr>
                        <w:jc w:val="center"/>
                        <w:rPr>
                          <w:sz w:val="20"/>
                          <w:szCs w:val="20"/>
                        </w:rPr>
                      </w:pPr>
                      <w:r>
                        <w:rPr>
                          <w:sz w:val="20"/>
                        </w:rPr>
                        <w:t>A felszámolási eljárás folytatása</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663360" behindDoc="0" locked="0" layoutInCell="1" allowOverlap="1" wp14:anchorId="654194C8" wp14:editId="1FF5B48B">
                <wp:simplePos x="0" y="0"/>
                <wp:positionH relativeFrom="column">
                  <wp:posOffset>4114800</wp:posOffset>
                </wp:positionH>
                <wp:positionV relativeFrom="paragraph">
                  <wp:posOffset>982980</wp:posOffset>
                </wp:positionV>
                <wp:extent cx="1828800" cy="685800"/>
                <wp:effectExtent l="0" t="0" r="19050" b="19050"/>
                <wp:wrapNone/>
                <wp:docPr id="54" name="40ccd1f4ac1f4212a5df4b741de6f05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2D610B" w:rsidRPr="00E9631F" w:rsidRDefault="002D610B" w:rsidP="00BF6ACB">
                            <w:pPr>
                              <w:spacing w:before="120"/>
                              <w:jc w:val="center"/>
                              <w:rPr>
                                <w:sz w:val="20"/>
                                <w:szCs w:val="20"/>
                              </w:rPr>
                            </w:pPr>
                            <w:r>
                              <w:rPr>
                                <w:sz w:val="20"/>
                              </w:rPr>
                              <w:t>Az adós megindítja a csődeljárást: ennek következtében a felszámolási eljárás felfüggesztésre kerül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40ccd1f4ac1f4212a5df4b741de6f05a" o:spid="_x0000_s1102" type="#_x0000_t202" style="position:absolute;margin-left:324pt;margin-top:77.4pt;width:2in;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">
                <v:textbox>
                  <w:txbxContent>
                    <w:p w:rsidR="002D610B" w:rsidRPr="00E9631F" w:rsidRDefault="002D610B" w:rsidP="00BF6ACB">
                      <w:pPr>
                        <w:spacing w:before="120"/>
                        <w:jc w:val="center"/>
                        <w:rPr>
                          <w:sz w:val="20"/>
                          <w:szCs w:val="20"/>
                        </w:rPr>
                      </w:pPr>
                      <w:r>
                        <w:rPr>
                          <w:sz w:val="20"/>
                        </w:rPr>
                        <w:t>Az adós megindítja a csődeljárást: ennek következtében a felszámolási eljárás felfüggesztésre kerül</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667456" behindDoc="0" locked="0" layoutInCell="1" allowOverlap="1" wp14:anchorId="301C03F3" wp14:editId="3DD057BF">
                <wp:simplePos x="0" y="0"/>
                <wp:positionH relativeFrom="column">
                  <wp:posOffset>4686300</wp:posOffset>
                </wp:positionH>
                <wp:positionV relativeFrom="paragraph">
                  <wp:posOffset>525780</wp:posOffset>
                </wp:positionV>
                <wp:extent cx="228600" cy="457200"/>
                <wp:effectExtent l="0" t="38100" r="57150" b="19050"/>
                <wp:wrapNone/>
                <wp:docPr id="53"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41.4pt" to="387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670528" behindDoc="0" locked="0" layoutInCell="1" allowOverlap="1" wp14:anchorId="7CC30563" wp14:editId="60B2A059">
                <wp:simplePos x="0" y="0"/>
                <wp:positionH relativeFrom="column">
                  <wp:posOffset>4114800</wp:posOffset>
                </wp:positionH>
                <wp:positionV relativeFrom="paragraph">
                  <wp:posOffset>411480</wp:posOffset>
                </wp:positionV>
                <wp:extent cx="685800" cy="457200"/>
                <wp:effectExtent l="0" t="0" r="0" b="0"/>
                <wp:wrapNone/>
                <wp:docPr id="52" name="ea26df7ca98d498ca211423a05bfd76b"/>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D610B" w:rsidRPr="000C7AAA" w:rsidRDefault="002D610B" w:rsidP="00BF6ACB">
                            <w:pPr>
                              <w:jc w:val="center"/>
                              <w:rPr>
                                <w:sz w:val="20"/>
                                <w:szCs w:val="20"/>
                              </w:rPr>
                            </w:pPr>
                            <w:proofErr w:type="gramStart"/>
                            <w:r>
                              <w:rPr>
                                <w:sz w:val="20"/>
                              </w:rPr>
                              <w:t>a</w:t>
                            </w:r>
                            <w:proofErr w:type="gramEnd"/>
                            <w:r>
                              <w:rPr>
                                <w:sz w:val="20"/>
                              </w:rPr>
                              <w:t xml:space="preserve"> bíróság elutasítja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a26df7ca98d498ca211423a05bfd76b" o:spid="_x0000_s1103" type="#_x0000_t202" style="position:absolute;margin-left:324pt;margin-top:32.4pt;width:54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" filled="f" stroked="f" strokeweight=".25pt">
                <v:textbox>
                  <w:txbxContent>
                    <w:p w:rsidR="002D610B" w:rsidRPr="000C7AAA" w:rsidRDefault="002D610B" w:rsidP="00BF6ACB">
                      <w:pPr>
                        <w:jc w:val="center"/>
                        <w:rPr>
                          <w:sz w:val="20"/>
                          <w:szCs w:val="20"/>
                        </w:rPr>
                      </w:pPr>
                      <w:proofErr w:type="gramStart"/>
                      <w:r>
                        <w:rPr>
                          <w:sz w:val="20"/>
                        </w:rPr>
                        <w:t>a</w:t>
                      </w:r>
                      <w:proofErr w:type="gramEnd"/>
                      <w:r>
                        <w:rPr>
                          <w:sz w:val="20"/>
                        </w:rPr>
                        <w:t xml:space="preserve"> bíróság elutasítja</w:t>
                      </w:r>
                    </w:p>
                  </w:txbxContent>
                </v:textbox>
              </v:shape>
            </w:pict>
          </mc:Fallback>
        </mc:AlternateContent>
      </w:r>
      <w:r w:rsidR="003B56B3" w:rsidRPr="003249D9">
        <w:rPr>
          <w:rFonts w:asciiTheme="minorHAnsi" w:hAnsiTheme="minorHAnsi"/>
        </w:rPr>
        <w:t xml:space="preserve"> </w:t>
      </w:r>
    </w:p>
    <w:p w:rsidR="00BF6ACB" w:rsidRPr="003249D9" w:rsidRDefault="004057CC" w:rsidP="00BF6ACB">
      <w:pPr>
        <w:widowControl w:val="0"/>
        <w:rPr>
          <w:rFonts w:asciiTheme="minorHAnsi" w:hAnsiTheme="minorHAnsi"/>
        </w:rPr>
        <w:sectPr w:rsidR="00BF6ACB" w:rsidRPr="003249D9" w:rsidSect="00BF6ACB">
          <w:headerReference w:type="default" r:id="rId88"/>
          <w:footerReference w:type="default" r:id="rId89"/>
          <w:pgSz w:w="11907" w:h="16839" w:code="9"/>
          <w:pgMar w:top="2304" w:right="792" w:bottom="1022" w:left="792" w:header="605" w:footer="706" w:gutter="0"/>
          <w:cols w:num="2" w:space="346"/>
          <w:docGrid w:linePitch="360"/>
        </w:sectPr>
      </w:pPr>
      <w:r>
        <w:rPr>
          <w:rFonts w:asciiTheme="minorHAnsi" w:hAnsiTheme="minorHAnsi"/>
          <w:noProof/>
          <w:lang w:bidi="ar-SA"/>
        </w:rPr>
        <mc:AlternateContent>
          <mc:Choice Requires="wps">
            <w:drawing>
              <wp:anchor distT="0" distB="0" distL="114300" distR="114300" simplePos="0" relativeHeight="251709440" behindDoc="0" locked="0" layoutInCell="1" allowOverlap="1" wp14:anchorId="3FBE5A10" wp14:editId="0491E897">
                <wp:simplePos x="0" y="0"/>
                <wp:positionH relativeFrom="column">
                  <wp:posOffset>3999865</wp:posOffset>
                </wp:positionH>
                <wp:positionV relativeFrom="paragraph">
                  <wp:posOffset>3578225</wp:posOffset>
                </wp:positionV>
                <wp:extent cx="1356360" cy="586105"/>
                <wp:effectExtent l="0" t="0" r="15240" b="23495"/>
                <wp:wrapNone/>
                <wp:docPr id="42" name="a9604740cbc748a2b47a629067a52de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586105"/>
                        </a:xfrm>
                        <a:prstGeom prst="rect">
                          <a:avLst/>
                        </a:prstGeom>
                        <a:solidFill>
                          <a:srgbClr val="FFFFFF"/>
                        </a:solidFill>
                        <a:ln w="9525">
                          <a:solidFill>
                            <a:srgbClr val="000000"/>
                          </a:solidFill>
                          <a:miter lim="800000"/>
                          <a:headEnd/>
                          <a:tailEnd/>
                        </a:ln>
                      </wps:spPr>
                      <wps:txbx>
                        <w:txbxContent>
                          <w:p w:rsidR="002D610B" w:rsidRPr="00295663" w:rsidRDefault="002D610B" w:rsidP="00BF6ACB">
                            <w:pPr>
                              <w:jc w:val="center"/>
                              <w:rPr>
                                <w:sz w:val="20"/>
                                <w:szCs w:val="20"/>
                              </w:rPr>
                            </w:pPr>
                            <w:r>
                              <w:rPr>
                                <w:sz w:val="20"/>
                              </w:rPr>
                              <w:t>A felszámoló megkezdi az eszközök értékesítését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9604740cbc748a2b47a629067a52de9" o:spid="_x0000_s1104" type="#_x0000_t202" style="position:absolute;margin-left:314.95pt;margin-top:281.75pt;width:106.8pt;height:46.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">
                <v:textbox>
                  <w:txbxContent>
                    <w:p w:rsidR="002D610B" w:rsidRPr="00295663" w:rsidRDefault="002D610B" w:rsidP="00BF6ACB">
                      <w:pPr>
                        <w:jc w:val="center"/>
                        <w:rPr>
                          <w:sz w:val="20"/>
                          <w:szCs w:val="20"/>
                        </w:rPr>
                      </w:pPr>
                      <w:r>
                        <w:rPr>
                          <w:sz w:val="20"/>
                        </w:rPr>
                        <w:t>A felszámoló megkezdi az eszközök értékesítését</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704320" behindDoc="0" locked="0" layoutInCell="1" allowOverlap="1" wp14:anchorId="6C9494FC" wp14:editId="1B24873A">
                <wp:simplePos x="0" y="0"/>
                <wp:positionH relativeFrom="column">
                  <wp:posOffset>3258185</wp:posOffset>
                </wp:positionH>
                <wp:positionV relativeFrom="paragraph">
                  <wp:posOffset>1870075</wp:posOffset>
                </wp:positionV>
                <wp:extent cx="1431925" cy="301625"/>
                <wp:effectExtent l="0" t="0" r="0" b="3175"/>
                <wp:wrapNone/>
                <wp:docPr id="36" name="ce5045aa35cc445d948079fbd8eb3c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192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10B" w:rsidRPr="00A40A47" w:rsidRDefault="002D610B" w:rsidP="00BF6ACB">
                            <w:pPr>
                              <w:rPr>
                                <w:sz w:val="20"/>
                                <w:szCs w:val="20"/>
                              </w:rPr>
                            </w:pPr>
                            <w:proofErr w:type="gramStart"/>
                            <w:r>
                              <w:rPr>
                                <w:sz w:val="20"/>
                              </w:rPr>
                              <w:t>az</w:t>
                            </w:r>
                            <w:proofErr w:type="gramEnd"/>
                            <w:r>
                              <w:rPr>
                                <w:sz w:val="20"/>
                              </w:rPr>
                              <w:t xml:space="preserve"> adós fizetésképtelen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e5045aa35cc445d948079fbd8eb3ce5" o:spid="_x0000_s1105" type="#_x0000_t202" style="position:absolute;margin-left:256.55pt;margin-top:147.25pt;width:112.75pt;height:2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" stroked="f">
                <v:textbox>
                  <w:txbxContent>
                    <w:p w:rsidR="002D610B" w:rsidRPr="00A40A47" w:rsidRDefault="002D610B" w:rsidP="00BF6ACB">
                      <w:pPr>
                        <w:rPr>
                          <w:sz w:val="20"/>
                          <w:szCs w:val="20"/>
                        </w:rPr>
                      </w:pPr>
                      <w:proofErr w:type="gramStart"/>
                      <w:r>
                        <w:rPr>
                          <w:sz w:val="20"/>
                        </w:rPr>
                        <w:t>az</w:t>
                      </w:r>
                      <w:proofErr w:type="gramEnd"/>
                      <w:r>
                        <w:rPr>
                          <w:sz w:val="20"/>
                        </w:rPr>
                        <w:t xml:space="preserve"> adós fizetésképtelen </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717632" behindDoc="0" locked="0" layoutInCell="1" allowOverlap="1" wp14:anchorId="63648353" wp14:editId="220EFD64">
                <wp:simplePos x="0" y="0"/>
                <wp:positionH relativeFrom="column">
                  <wp:posOffset>1830705</wp:posOffset>
                </wp:positionH>
                <wp:positionV relativeFrom="paragraph">
                  <wp:posOffset>6182995</wp:posOffset>
                </wp:positionV>
                <wp:extent cx="1559560" cy="252095"/>
                <wp:effectExtent l="0" t="0" r="2540" b="0"/>
                <wp:wrapNone/>
                <wp:docPr id="51" name="5dab3824b5114c66a9f825dac60b4b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56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10B" w:rsidRPr="000C7AAA" w:rsidRDefault="002D610B" w:rsidP="00BF6ACB">
                            <w:pPr>
                              <w:jc w:val="center"/>
                              <w:rPr>
                                <w:sz w:val="20"/>
                                <w:szCs w:val="20"/>
                              </w:rPr>
                            </w:pPr>
                            <w:proofErr w:type="gramStart"/>
                            <w:r>
                              <w:rPr>
                                <w:sz w:val="20"/>
                              </w:rPr>
                              <w:t>a</w:t>
                            </w:r>
                            <w:proofErr w:type="gramEnd"/>
                            <w:r>
                              <w:rPr>
                                <w:sz w:val="20"/>
                              </w:rPr>
                              <w:t xml:space="preserve"> bírósághoz történő benyújtás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dab3824b5114c66a9f825dac60b4b88" o:spid="_x0000_s1106" type="#_x0000_t202" style="position:absolute;margin-left:144.15pt;margin-top:486.85pt;width:122.8pt;height:19.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" stroked="f">
                <v:textbox>
                  <w:txbxContent>
                    <w:p w:rsidR="002D610B" w:rsidRPr="000C7AAA" w:rsidRDefault="002D610B" w:rsidP="00BF6ACB">
                      <w:pPr>
                        <w:jc w:val="center"/>
                        <w:rPr>
                          <w:sz w:val="20"/>
                          <w:szCs w:val="20"/>
                        </w:rPr>
                      </w:pPr>
                      <w:proofErr w:type="gramStart"/>
                      <w:r>
                        <w:rPr>
                          <w:sz w:val="20"/>
                        </w:rPr>
                        <w:t>a</w:t>
                      </w:r>
                      <w:proofErr w:type="gramEnd"/>
                      <w:r>
                        <w:rPr>
                          <w:sz w:val="20"/>
                        </w:rPr>
                        <w:t xml:space="preserve"> bírósághoz történő benyújtás</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718656" behindDoc="0" locked="0" layoutInCell="1" allowOverlap="1" wp14:anchorId="341BB0EF" wp14:editId="255F7EDE">
                <wp:simplePos x="0" y="0"/>
                <wp:positionH relativeFrom="column">
                  <wp:posOffset>2400300</wp:posOffset>
                </wp:positionH>
                <wp:positionV relativeFrom="paragraph">
                  <wp:posOffset>6605905</wp:posOffset>
                </wp:positionV>
                <wp:extent cx="1857375" cy="941070"/>
                <wp:effectExtent l="0" t="0" r="28575" b="11430"/>
                <wp:wrapNone/>
                <wp:docPr id="50" name="ed3aa8f8ce9f4bca8b90645eae1f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941070"/>
                        </a:xfrm>
                        <a:prstGeom prst="rect">
                          <a:avLst/>
                        </a:prstGeom>
                        <a:solidFill>
                          <a:srgbClr val="FFFFFF"/>
                        </a:solidFill>
                        <a:ln w="9525">
                          <a:solidFill>
                            <a:srgbClr val="000000"/>
                          </a:solidFill>
                          <a:miter lim="800000"/>
                          <a:headEnd/>
                          <a:tailEnd/>
                        </a:ln>
                      </wps:spPr>
                      <wps:txbx>
                        <w:txbxContent>
                          <w:p w:rsidR="002D610B" w:rsidRPr="00295663" w:rsidRDefault="002D610B" w:rsidP="00BF6ACB">
                            <w:pPr>
                              <w:jc w:val="center"/>
                              <w:rPr>
                                <w:sz w:val="20"/>
                                <w:szCs w:val="20"/>
                              </w:rPr>
                            </w:pPr>
                            <w:r>
                              <w:rPr>
                                <w:sz w:val="20"/>
                              </w:rPr>
                              <w:t>A bíróság jóváhagyja a fennmaradó követelések kielégítésére vonatkozó javaslatot és a felszámolási eljárás lezárását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d3aa8f8ce9f4bca8b90645eae1f1015" o:spid="_x0000_s1107" type="#_x0000_t202" style="position:absolute;margin-left:189pt;margin-top:520.15pt;width:146.25pt;height:74.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">
                <v:textbox>
                  <w:txbxContent>
                    <w:p w:rsidR="002D610B" w:rsidRPr="00295663" w:rsidRDefault="002D610B" w:rsidP="00BF6ACB">
                      <w:pPr>
                        <w:jc w:val="center"/>
                        <w:rPr>
                          <w:sz w:val="20"/>
                          <w:szCs w:val="20"/>
                        </w:rPr>
                      </w:pPr>
                      <w:r>
                        <w:rPr>
                          <w:sz w:val="20"/>
                        </w:rPr>
                        <w:t>A bíróság jóváhagyja a fennmaradó követelések kielégítésére vonatkozó javaslatot és a felszámolási eljárás lezárását</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716608" behindDoc="0" locked="0" layoutInCell="1" allowOverlap="1" wp14:anchorId="5B92CD68" wp14:editId="29DF08EB">
                <wp:simplePos x="0" y="0"/>
                <wp:positionH relativeFrom="column">
                  <wp:posOffset>3390265</wp:posOffset>
                </wp:positionH>
                <wp:positionV relativeFrom="paragraph">
                  <wp:posOffset>6173470</wp:posOffset>
                </wp:positionV>
                <wp:extent cx="38735" cy="432435"/>
                <wp:effectExtent l="38100" t="0" r="56515" b="62865"/>
                <wp:wrapNone/>
                <wp:docPr id="4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35" cy="4324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95pt,486.1pt" to="270pt,5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715584" behindDoc="0" locked="0" layoutInCell="1" allowOverlap="1" wp14:anchorId="6C65D5B1" wp14:editId="19C3DB98">
                <wp:simplePos x="0" y="0"/>
                <wp:positionH relativeFrom="column">
                  <wp:posOffset>2514600</wp:posOffset>
                </wp:positionH>
                <wp:positionV relativeFrom="paragraph">
                  <wp:posOffset>5561965</wp:posOffset>
                </wp:positionV>
                <wp:extent cx="1407795" cy="611505"/>
                <wp:effectExtent l="0" t="0" r="20955" b="17145"/>
                <wp:wrapNone/>
                <wp:docPr id="48" name="d2882620de8a4d4fa9a97be31290c78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611505"/>
                        </a:xfrm>
                        <a:prstGeom prst="rect">
                          <a:avLst/>
                        </a:prstGeom>
                        <a:solidFill>
                          <a:srgbClr val="FFFFFF"/>
                        </a:solidFill>
                        <a:ln w="9525">
                          <a:solidFill>
                            <a:srgbClr val="000000"/>
                          </a:solidFill>
                          <a:miter lim="800000"/>
                          <a:headEnd/>
                          <a:tailEnd/>
                        </a:ln>
                      </wps:spPr>
                      <wps:txbx>
                        <w:txbxContent>
                          <w:p w:rsidR="002D610B" w:rsidRPr="00295663" w:rsidRDefault="002D610B" w:rsidP="00BF6ACB">
                            <w:pPr>
                              <w:jc w:val="center"/>
                              <w:rPr>
                                <w:sz w:val="20"/>
                                <w:szCs w:val="20"/>
                              </w:rPr>
                            </w:pPr>
                            <w:r>
                              <w:rPr>
                                <w:sz w:val="20"/>
                              </w:rPr>
                              <w:t>A felszámoló elkészíti a zárómérleget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2882620de8a4d4fa9a97be31290c78d" o:spid="_x0000_s1108" type="#_x0000_t202" style="position:absolute;margin-left:198pt;margin-top:437.95pt;width:110.85pt;height:48.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">
                <v:textbox>
                  <w:txbxContent>
                    <w:p w:rsidR="002D610B" w:rsidRPr="00295663" w:rsidRDefault="002D610B" w:rsidP="00BF6ACB">
                      <w:pPr>
                        <w:jc w:val="center"/>
                        <w:rPr>
                          <w:sz w:val="20"/>
                          <w:szCs w:val="20"/>
                        </w:rPr>
                      </w:pPr>
                      <w:r>
                        <w:rPr>
                          <w:sz w:val="20"/>
                        </w:rPr>
                        <w:t>A felszámoló elkészíti a zárómérleget</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713536" behindDoc="0" locked="0" layoutInCell="1" allowOverlap="1" wp14:anchorId="09CC061A" wp14:editId="7312C98A">
                <wp:simplePos x="0" y="0"/>
                <wp:positionH relativeFrom="column">
                  <wp:posOffset>2514600</wp:posOffset>
                </wp:positionH>
                <wp:positionV relativeFrom="paragraph">
                  <wp:posOffset>4999355</wp:posOffset>
                </wp:positionV>
                <wp:extent cx="949960" cy="434975"/>
                <wp:effectExtent l="0" t="0" r="2540" b="3175"/>
                <wp:wrapNone/>
                <wp:docPr id="47" name="e933212c6b194b8589d14853bac983b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960" cy="434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10B" w:rsidRPr="000C7AAA" w:rsidRDefault="002D610B" w:rsidP="00BF6ACB">
                            <w:pPr>
                              <w:rPr>
                                <w:sz w:val="20"/>
                                <w:szCs w:val="20"/>
                              </w:rPr>
                            </w:pPr>
                            <w:proofErr w:type="gramStart"/>
                            <w:r>
                              <w:rPr>
                                <w:sz w:val="20"/>
                              </w:rPr>
                              <w:t>két</w:t>
                            </w:r>
                            <w:proofErr w:type="gramEnd"/>
                            <w:r>
                              <w:rPr>
                                <w:sz w:val="20"/>
                              </w:rPr>
                              <w:t xml:space="preserve"> év elteltével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e933212c6b194b8589d14853bac983b4" o:spid="_x0000_s1109" type="#_x0000_t202" style="position:absolute;margin-left:198pt;margin-top:393.65pt;width:74.8pt;height:3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" stroked="f">
                <v:textbox>
                  <w:txbxContent>
                    <w:p w:rsidR="002D610B" w:rsidRPr="000C7AAA" w:rsidRDefault="002D610B" w:rsidP="00BF6ACB">
                      <w:pPr>
                        <w:rPr>
                          <w:sz w:val="20"/>
                          <w:szCs w:val="20"/>
                        </w:rPr>
                      </w:pPr>
                      <w:proofErr w:type="gramStart"/>
                      <w:r>
                        <w:rPr>
                          <w:sz w:val="20"/>
                        </w:rPr>
                        <w:t>két</w:t>
                      </w:r>
                      <w:proofErr w:type="gramEnd"/>
                      <w:r>
                        <w:rPr>
                          <w:sz w:val="20"/>
                        </w:rPr>
                        <w:t xml:space="preserve"> év elteltével</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712512" behindDoc="0" locked="0" layoutInCell="1" allowOverlap="1" wp14:anchorId="32CAB8E2" wp14:editId="2623726C">
                <wp:simplePos x="0" y="0"/>
                <wp:positionH relativeFrom="column">
                  <wp:posOffset>2514600</wp:posOffset>
                </wp:positionH>
                <wp:positionV relativeFrom="paragraph">
                  <wp:posOffset>4304665</wp:posOffset>
                </wp:positionV>
                <wp:extent cx="1407795" cy="617855"/>
                <wp:effectExtent l="0" t="0" r="20955" b="10795"/>
                <wp:wrapNone/>
                <wp:docPr id="46" name="2b55297338404ff2b801040118225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617855"/>
                        </a:xfrm>
                        <a:prstGeom prst="rect">
                          <a:avLst/>
                        </a:prstGeom>
                        <a:solidFill>
                          <a:srgbClr val="FFFFFF"/>
                        </a:solidFill>
                        <a:ln w="9525">
                          <a:solidFill>
                            <a:srgbClr val="000000"/>
                          </a:solidFill>
                          <a:miter lim="800000"/>
                          <a:headEnd/>
                          <a:tailEnd/>
                        </a:ln>
                      </wps:spPr>
                      <wps:txbx>
                        <w:txbxContent>
                          <w:p w:rsidR="002D610B" w:rsidRPr="00295663" w:rsidRDefault="002D610B" w:rsidP="00BF6ACB">
                            <w:pPr>
                              <w:jc w:val="center"/>
                              <w:rPr>
                                <w:sz w:val="20"/>
                                <w:szCs w:val="20"/>
                              </w:rPr>
                            </w:pPr>
                            <w:r>
                              <w:rPr>
                                <w:sz w:val="20"/>
                              </w:rPr>
                              <w:t>A felszámoló elkészíti a közbenső mérleget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2b55297338404ff2b801040118225658" o:spid="_x0000_s1110" type="#_x0000_t202" style="position:absolute;margin-left:198pt;margin-top:338.95pt;width:110.85pt;height:48.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">
                <v:textbox>
                  <w:txbxContent>
                    <w:p w:rsidR="002D610B" w:rsidRPr="00295663" w:rsidRDefault="002D610B" w:rsidP="00BF6ACB">
                      <w:pPr>
                        <w:jc w:val="center"/>
                        <w:rPr>
                          <w:sz w:val="20"/>
                          <w:szCs w:val="20"/>
                        </w:rPr>
                      </w:pPr>
                      <w:r>
                        <w:rPr>
                          <w:sz w:val="20"/>
                        </w:rPr>
                        <w:t>A felszámoló elkészíti a közbenső mérleget</w:t>
                      </w:r>
                    </w:p>
                  </w:txbxContent>
                </v:textbox>
              </v:shape>
            </w:pict>
          </mc:Fallback>
        </mc:AlternateContent>
      </w:r>
      <w:r>
        <w:rPr>
          <w:rFonts w:asciiTheme="minorHAnsi" w:hAnsiTheme="minorHAnsi"/>
          <w:noProof/>
          <w:lang w:bidi="ar-SA"/>
        </w:rPr>
        <mc:AlternateContent>
          <mc:Choice Requires="wps">
            <w:drawing>
              <wp:anchor distT="0" distB="0" distL="114298" distR="114298" simplePos="0" relativeHeight="251714560" behindDoc="0" locked="0" layoutInCell="1" allowOverlap="1" wp14:anchorId="38E9552E" wp14:editId="6A75852C">
                <wp:simplePos x="0" y="0"/>
                <wp:positionH relativeFrom="column">
                  <wp:posOffset>3464559</wp:posOffset>
                </wp:positionH>
                <wp:positionV relativeFrom="paragraph">
                  <wp:posOffset>4922520</wp:posOffset>
                </wp:positionV>
                <wp:extent cx="0" cy="639445"/>
                <wp:effectExtent l="76200" t="0" r="76200" b="65405"/>
                <wp:wrapNone/>
                <wp:docPr id="4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9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71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72.8pt,387.6pt" to="272.8pt,4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710464" behindDoc="0" locked="0" layoutInCell="1" allowOverlap="1" wp14:anchorId="3982E36B" wp14:editId="6D5B5211">
                <wp:simplePos x="0" y="0"/>
                <wp:positionH relativeFrom="column">
                  <wp:posOffset>4000500</wp:posOffset>
                </wp:positionH>
                <wp:positionV relativeFrom="paragraph">
                  <wp:posOffset>4749165</wp:posOffset>
                </wp:positionV>
                <wp:extent cx="1257300" cy="772795"/>
                <wp:effectExtent l="0" t="0" r="19050" b="27305"/>
                <wp:wrapNone/>
                <wp:docPr id="44" name="3cd8440f20f34857849aa422257e88a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772795"/>
                        </a:xfrm>
                        <a:prstGeom prst="rect">
                          <a:avLst/>
                        </a:prstGeom>
                        <a:solidFill>
                          <a:srgbClr val="FFFFFF"/>
                        </a:solidFill>
                        <a:ln w="9525">
                          <a:solidFill>
                            <a:srgbClr val="000000"/>
                          </a:solidFill>
                          <a:miter lim="800000"/>
                          <a:headEnd/>
                          <a:tailEnd/>
                        </a:ln>
                      </wps:spPr>
                      <wps:txbx>
                        <w:txbxContent>
                          <w:p w:rsidR="002D610B" w:rsidRPr="00295663" w:rsidRDefault="002D610B" w:rsidP="00BF6ACB">
                            <w:pPr>
                              <w:jc w:val="center"/>
                              <w:rPr>
                                <w:sz w:val="20"/>
                                <w:szCs w:val="20"/>
                              </w:rPr>
                            </w:pPr>
                            <w:r>
                              <w:rPr>
                                <w:sz w:val="20"/>
                              </w:rPr>
                              <w:t>Egyes követelések kielégítése (ha van elegendő forrás)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3cd8440f20f34857849aa422257e88a6" o:spid="_x0000_s1111" type="#_x0000_t202" style="position:absolute;margin-left:315pt;margin-top:373.95pt;width:99pt;height:60.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">
                <v:textbox>
                  <w:txbxContent>
                    <w:p w:rsidR="002D610B" w:rsidRPr="00295663" w:rsidRDefault="002D610B" w:rsidP="00BF6ACB">
                      <w:pPr>
                        <w:jc w:val="center"/>
                        <w:rPr>
                          <w:sz w:val="20"/>
                          <w:szCs w:val="20"/>
                        </w:rPr>
                      </w:pPr>
                      <w:r>
                        <w:rPr>
                          <w:sz w:val="20"/>
                        </w:rPr>
                        <w:t>Egyes követelések kielégítése (ha van elegendő forrás)</w:t>
                      </w:r>
                    </w:p>
                  </w:txbxContent>
                </v:textbox>
              </v:shape>
            </w:pict>
          </mc:Fallback>
        </mc:AlternateContent>
      </w:r>
      <w:r>
        <w:rPr>
          <w:rFonts w:asciiTheme="minorHAnsi" w:hAnsiTheme="minorHAnsi"/>
          <w:noProof/>
          <w:lang w:bidi="ar-SA"/>
        </w:rPr>
        <mc:AlternateContent>
          <mc:Choice Requires="wps">
            <w:drawing>
              <wp:anchor distT="0" distB="0" distL="114298" distR="114298" simplePos="0" relativeHeight="251711488" behindDoc="0" locked="0" layoutInCell="1" allowOverlap="1" wp14:anchorId="636839FA" wp14:editId="308529ED">
                <wp:simplePos x="0" y="0"/>
                <wp:positionH relativeFrom="column">
                  <wp:posOffset>4629149</wp:posOffset>
                </wp:positionH>
                <wp:positionV relativeFrom="paragraph">
                  <wp:posOffset>4161155</wp:posOffset>
                </wp:positionV>
                <wp:extent cx="0" cy="588010"/>
                <wp:effectExtent l="76200" t="0" r="57150" b="59690"/>
                <wp:wrapNone/>
                <wp:docPr id="43"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880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711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4.5pt,327.65pt" to="364.5pt,3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705344" behindDoc="0" locked="0" layoutInCell="1" allowOverlap="1" wp14:anchorId="7FA63778" wp14:editId="26AAF6A6">
                <wp:simplePos x="0" y="0"/>
                <wp:positionH relativeFrom="column">
                  <wp:posOffset>2686685</wp:posOffset>
                </wp:positionH>
                <wp:positionV relativeFrom="paragraph">
                  <wp:posOffset>2252345</wp:posOffset>
                </wp:positionV>
                <wp:extent cx="1868805" cy="652145"/>
                <wp:effectExtent l="0" t="0" r="17145" b="14605"/>
                <wp:wrapNone/>
                <wp:docPr id="41" name="2ffa9d33b6414dc88cc6f3aea8b369e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652145"/>
                        </a:xfrm>
                        <a:prstGeom prst="rect">
                          <a:avLst/>
                        </a:prstGeom>
                        <a:solidFill>
                          <a:srgbClr val="FFFFFF"/>
                        </a:solidFill>
                        <a:ln w="9525">
                          <a:solidFill>
                            <a:srgbClr val="000000"/>
                          </a:solidFill>
                          <a:miter lim="800000"/>
                          <a:headEnd/>
                          <a:tailEnd/>
                        </a:ln>
                      </wps:spPr>
                      <wps:txbx>
                        <w:txbxContent>
                          <w:p w:rsidR="002D610B" w:rsidRPr="00E9631F" w:rsidRDefault="002D610B" w:rsidP="00BF6ACB">
                            <w:pPr>
                              <w:jc w:val="center"/>
                              <w:rPr>
                                <w:sz w:val="20"/>
                                <w:szCs w:val="20"/>
                              </w:rPr>
                            </w:pPr>
                            <w:r>
                              <w:rPr>
                                <w:sz w:val="20"/>
                              </w:rPr>
                              <w:t>A felszámolási eljárás megkezdése; a határozat közzététele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2ffa9d33b6414dc88cc6f3aea8b369e0" o:spid="_x0000_s1112" type="#_x0000_t202" style="position:absolute;margin-left:211.55pt;margin-top:177.35pt;width:147.15pt;height:5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">
                <v:textbox>
                  <w:txbxContent>
                    <w:p w:rsidR="002D610B" w:rsidRPr="00E9631F" w:rsidRDefault="002D610B" w:rsidP="00BF6ACB">
                      <w:pPr>
                        <w:jc w:val="center"/>
                        <w:rPr>
                          <w:sz w:val="20"/>
                          <w:szCs w:val="20"/>
                        </w:rPr>
                      </w:pPr>
                      <w:r>
                        <w:rPr>
                          <w:sz w:val="20"/>
                        </w:rPr>
                        <w:t>A felszámolási eljárás megkezdése; a határozat közzététele</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698176" behindDoc="0" locked="0" layoutInCell="1" allowOverlap="1" wp14:anchorId="07C5021E" wp14:editId="2BEEFB23">
                <wp:simplePos x="0" y="0"/>
                <wp:positionH relativeFrom="column">
                  <wp:posOffset>2628265</wp:posOffset>
                </wp:positionH>
                <wp:positionV relativeFrom="paragraph">
                  <wp:posOffset>1697990</wp:posOffset>
                </wp:positionV>
                <wp:extent cx="762000" cy="554355"/>
                <wp:effectExtent l="0" t="0" r="76200" b="55245"/>
                <wp:wrapNone/>
                <wp:docPr id="4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0" cy="554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95pt,133.7pt" to="266.9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707392" behindDoc="0" locked="0" layoutInCell="1" allowOverlap="1" wp14:anchorId="0A253713" wp14:editId="50BE80B5">
                <wp:simplePos x="0" y="0"/>
                <wp:positionH relativeFrom="column">
                  <wp:posOffset>2762250</wp:posOffset>
                </wp:positionH>
                <wp:positionV relativeFrom="paragraph">
                  <wp:posOffset>3405505</wp:posOffset>
                </wp:positionV>
                <wp:extent cx="693420" cy="426720"/>
                <wp:effectExtent l="0" t="0" r="0" b="0"/>
                <wp:wrapNone/>
                <wp:docPr id="39" name="691f3188a97f49d9984a25bfdea6af2c"/>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10B" w:rsidRPr="000C7AAA" w:rsidRDefault="002D610B" w:rsidP="00BF6ACB">
                            <w:pPr>
                              <w:rPr>
                                <w:sz w:val="20"/>
                                <w:szCs w:val="20"/>
                              </w:rPr>
                            </w:pPr>
                            <w:proofErr w:type="gramStart"/>
                            <w:r>
                              <w:rPr>
                                <w:sz w:val="20"/>
                              </w:rPr>
                              <w:t>egy</w:t>
                            </w:r>
                            <w:proofErr w:type="gramEnd"/>
                            <w:r>
                              <w:rPr>
                                <w:sz w:val="20"/>
                              </w:rPr>
                              <w:t xml:space="preserve"> év elteltével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691f3188a97f49d9984a25bfdea6af2c" o:spid="_x0000_s1113" type="#_x0000_t202" style="position:absolute;margin-left:217.5pt;margin-top:268.15pt;width:54.6pt;height:3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" stroked="f">
                <v:textbox>
                  <w:txbxContent>
                    <w:p w:rsidR="002D610B" w:rsidRPr="000C7AAA" w:rsidRDefault="002D610B" w:rsidP="00BF6ACB">
                      <w:pPr>
                        <w:rPr>
                          <w:sz w:val="20"/>
                          <w:szCs w:val="20"/>
                        </w:rPr>
                      </w:pPr>
                      <w:proofErr w:type="gramStart"/>
                      <w:r>
                        <w:rPr>
                          <w:sz w:val="20"/>
                        </w:rPr>
                        <w:t>egy</w:t>
                      </w:r>
                      <w:proofErr w:type="gramEnd"/>
                      <w:r>
                        <w:rPr>
                          <w:sz w:val="20"/>
                        </w:rPr>
                        <w:t xml:space="preserve"> év elteltével</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685888" behindDoc="0" locked="0" layoutInCell="1" allowOverlap="1" wp14:anchorId="375C916C" wp14:editId="7543A4C3">
                <wp:simplePos x="0" y="0"/>
                <wp:positionH relativeFrom="column">
                  <wp:posOffset>795020</wp:posOffset>
                </wp:positionH>
                <wp:positionV relativeFrom="paragraph">
                  <wp:posOffset>3659505</wp:posOffset>
                </wp:positionV>
                <wp:extent cx="1372235" cy="955675"/>
                <wp:effectExtent l="0" t="0" r="18415" b="15875"/>
                <wp:wrapNone/>
                <wp:docPr id="38" name="777e511dbc0742f4b1018d576e5c28c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235" cy="955675"/>
                        </a:xfrm>
                        <a:prstGeom prst="rect">
                          <a:avLst/>
                        </a:prstGeom>
                        <a:solidFill>
                          <a:srgbClr val="FFFFFF"/>
                        </a:solidFill>
                        <a:ln w="9525">
                          <a:solidFill>
                            <a:srgbClr val="000000"/>
                          </a:solidFill>
                          <a:miter lim="800000"/>
                          <a:headEnd/>
                          <a:tailEnd/>
                        </a:ln>
                      </wps:spPr>
                      <wps:txbx>
                        <w:txbxContent>
                          <w:p w:rsidR="002D610B" w:rsidRPr="00295663" w:rsidRDefault="002D610B" w:rsidP="00BF6ACB">
                            <w:pPr>
                              <w:jc w:val="center"/>
                              <w:rPr>
                                <w:sz w:val="20"/>
                                <w:szCs w:val="20"/>
                              </w:rPr>
                            </w:pPr>
                            <w:r>
                              <w:rPr>
                                <w:sz w:val="20"/>
                              </w:rPr>
                              <w:t>Az adós vezető tisztségviselője benyújtja az adós pénzügyi és egyéb dokumentumait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777e511dbc0742f4b1018d576e5c28ca" o:spid="_x0000_s1114" type="#_x0000_t202" style="position:absolute;margin-left:62.6pt;margin-top:288.15pt;width:108.05pt;height:7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">
                <v:textbox>
                  <w:txbxContent>
                    <w:p w:rsidR="002D610B" w:rsidRPr="00295663" w:rsidRDefault="002D610B" w:rsidP="00BF6ACB">
                      <w:pPr>
                        <w:jc w:val="center"/>
                        <w:rPr>
                          <w:sz w:val="20"/>
                          <w:szCs w:val="20"/>
                        </w:rPr>
                      </w:pPr>
                      <w:r>
                        <w:rPr>
                          <w:sz w:val="20"/>
                        </w:rPr>
                        <w:t>Az adós vezető tisztségviselője benyújtja az adós pénzügyi és egyéb dokumentumait</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676672" behindDoc="0" locked="0" layoutInCell="1" allowOverlap="1" wp14:anchorId="3F14C673" wp14:editId="1B0DFC20">
                <wp:simplePos x="0" y="0"/>
                <wp:positionH relativeFrom="column">
                  <wp:posOffset>4039235</wp:posOffset>
                </wp:positionH>
                <wp:positionV relativeFrom="paragraph">
                  <wp:posOffset>1500505</wp:posOffset>
                </wp:positionV>
                <wp:extent cx="868045" cy="436880"/>
                <wp:effectExtent l="0" t="0" r="0" b="1270"/>
                <wp:wrapNone/>
                <wp:docPr id="37" name="76b06711a02747e1aa6ec6595fc8ac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43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D610B" w:rsidRPr="00A40A47" w:rsidRDefault="002D610B" w:rsidP="00BF6ACB">
                            <w:pPr>
                              <w:jc w:val="center"/>
                              <w:rPr>
                                <w:sz w:val="20"/>
                                <w:szCs w:val="20"/>
                              </w:rPr>
                            </w:pPr>
                            <w:proofErr w:type="gramStart"/>
                            <w:r>
                              <w:rPr>
                                <w:sz w:val="20"/>
                              </w:rPr>
                              <w:t>a</w:t>
                            </w:r>
                            <w:proofErr w:type="gramEnd"/>
                            <w:r>
                              <w:rPr>
                                <w:sz w:val="20"/>
                              </w:rPr>
                              <w:t xml:space="preserve"> bíróság elfogadja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76b06711a02747e1aa6ec6595fc8ac13" o:spid="_x0000_s1115" type="#_x0000_t202" style="position:absolute;margin-left:318.05pt;margin-top:118.15pt;width:68.35pt;height:3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" filled="f" stroked="f" strokeweight=".25pt">
                <v:textbox>
                  <w:txbxContent>
                    <w:p w:rsidR="002D610B" w:rsidRPr="00A40A47" w:rsidRDefault="002D610B" w:rsidP="00BF6ACB">
                      <w:pPr>
                        <w:jc w:val="center"/>
                        <w:rPr>
                          <w:sz w:val="20"/>
                          <w:szCs w:val="20"/>
                        </w:rPr>
                      </w:pPr>
                      <w:proofErr w:type="gramStart"/>
                      <w:r>
                        <w:rPr>
                          <w:sz w:val="20"/>
                        </w:rPr>
                        <w:t>a</w:t>
                      </w:r>
                      <w:proofErr w:type="gramEnd"/>
                      <w:r>
                        <w:rPr>
                          <w:sz w:val="20"/>
                        </w:rPr>
                        <w:t xml:space="preserve"> bíróság elfogadja</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672576" behindDoc="0" locked="0" layoutInCell="1" allowOverlap="1" wp14:anchorId="028E2302" wp14:editId="21E1ACDD">
                <wp:simplePos x="0" y="0"/>
                <wp:positionH relativeFrom="column">
                  <wp:posOffset>4914900</wp:posOffset>
                </wp:positionH>
                <wp:positionV relativeFrom="paragraph">
                  <wp:posOffset>2108835</wp:posOffset>
                </wp:positionV>
                <wp:extent cx="1590040" cy="795655"/>
                <wp:effectExtent l="0" t="0" r="10160" b="23495"/>
                <wp:wrapNone/>
                <wp:docPr id="35" name="a4205a6da08546f2a46adba20a4f0af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795655"/>
                        </a:xfrm>
                        <a:prstGeom prst="rect">
                          <a:avLst/>
                        </a:prstGeom>
                        <a:solidFill>
                          <a:srgbClr val="FFFFFF"/>
                        </a:solidFill>
                        <a:ln w="9525">
                          <a:solidFill>
                            <a:srgbClr val="000000"/>
                          </a:solidFill>
                          <a:miter lim="800000"/>
                          <a:headEnd/>
                          <a:tailEnd/>
                        </a:ln>
                      </wps:spPr>
                      <wps:txbx>
                        <w:txbxContent>
                          <w:p w:rsidR="002D610B" w:rsidRPr="00E9631F" w:rsidRDefault="002D610B" w:rsidP="00BF6ACB">
                            <w:pPr>
                              <w:jc w:val="center"/>
                              <w:rPr>
                                <w:sz w:val="20"/>
                                <w:szCs w:val="20"/>
                              </w:rPr>
                            </w:pPr>
                            <w:r>
                              <w:rPr>
                                <w:sz w:val="20"/>
                              </w:rPr>
                              <w:t>A csődeljárás megkezdése és a felszámolási eljárás lezárása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4205a6da08546f2a46adba20a4f0af8" o:spid="_x0000_s1116" type="#_x0000_t202" style="position:absolute;margin-left:387pt;margin-top:166.05pt;width:125.2pt;height:6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">
                <v:textbox>
                  <w:txbxContent>
                    <w:p w:rsidR="002D610B" w:rsidRPr="00E9631F" w:rsidRDefault="002D610B" w:rsidP="00BF6ACB">
                      <w:pPr>
                        <w:jc w:val="center"/>
                        <w:rPr>
                          <w:sz w:val="20"/>
                          <w:szCs w:val="20"/>
                        </w:rPr>
                      </w:pPr>
                      <w:r>
                        <w:rPr>
                          <w:sz w:val="20"/>
                        </w:rPr>
                        <w:t>A csődeljárás megkezdése és a felszámolási eljárás lezárása</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708416" behindDoc="0" locked="0" layoutInCell="1" allowOverlap="1" wp14:anchorId="69B16969" wp14:editId="5625CACB">
                <wp:simplePos x="0" y="0"/>
                <wp:positionH relativeFrom="column">
                  <wp:posOffset>4086225</wp:posOffset>
                </wp:positionH>
                <wp:positionV relativeFrom="paragraph">
                  <wp:posOffset>3075940</wp:posOffset>
                </wp:positionV>
                <wp:extent cx="1104900" cy="252095"/>
                <wp:effectExtent l="0" t="0" r="0" b="0"/>
                <wp:wrapNone/>
                <wp:docPr id="34" name="a056aa03c5e04d6b83f5a547d21e5d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10B" w:rsidRPr="000C7AAA" w:rsidRDefault="002D610B" w:rsidP="00BF6ACB">
                            <w:pPr>
                              <w:rPr>
                                <w:sz w:val="20"/>
                                <w:szCs w:val="20"/>
                              </w:rPr>
                            </w:pPr>
                            <w:r>
                              <w:rPr>
                                <w:sz w:val="20"/>
                              </w:rPr>
                              <w:t>100 napon belül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056aa03c5e04d6b83f5a547d21e5d55" o:spid="_x0000_s1117" type="#_x0000_t202" style="position:absolute;margin-left:321.75pt;margin-top:242.2pt;width:87pt;height:19.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" stroked="f">
                <v:textbox>
                  <w:txbxContent>
                    <w:p w:rsidR="002D610B" w:rsidRPr="000C7AAA" w:rsidRDefault="002D610B" w:rsidP="00BF6ACB">
                      <w:pPr>
                        <w:rPr>
                          <w:sz w:val="20"/>
                          <w:szCs w:val="20"/>
                        </w:rPr>
                      </w:pPr>
                      <w:r>
                        <w:rPr>
                          <w:sz w:val="20"/>
                        </w:rPr>
                        <w:t>100 napon belül</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706368" behindDoc="0" locked="0" layoutInCell="1" allowOverlap="1" wp14:anchorId="02E1ABEF" wp14:editId="268DAFAA">
                <wp:simplePos x="0" y="0"/>
                <wp:positionH relativeFrom="column">
                  <wp:posOffset>1733550</wp:posOffset>
                </wp:positionH>
                <wp:positionV relativeFrom="paragraph">
                  <wp:posOffset>3075940</wp:posOffset>
                </wp:positionV>
                <wp:extent cx="1028700" cy="251460"/>
                <wp:effectExtent l="0" t="0" r="0" b="0"/>
                <wp:wrapNone/>
                <wp:docPr id="33" name="cfcee4362d63448eb2520e60c320c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51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10B" w:rsidRPr="000C7AAA" w:rsidRDefault="002D610B" w:rsidP="00BF6ACB">
                            <w:pPr>
                              <w:rPr>
                                <w:sz w:val="20"/>
                                <w:szCs w:val="20"/>
                              </w:rPr>
                            </w:pPr>
                            <w:r>
                              <w:rPr>
                                <w:sz w:val="20"/>
                              </w:rPr>
                              <w:t xml:space="preserve">30 napon belül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fcee4362d63448eb2520e60c320c505" o:spid="_x0000_s1118" type="#_x0000_t202" style="position:absolute;margin-left:136.5pt;margin-top:242.2pt;width:81pt;height:19.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" stroked="f">
                <v:textbox>
                  <w:txbxContent>
                    <w:p w:rsidR="002D610B" w:rsidRPr="000C7AAA" w:rsidRDefault="002D610B" w:rsidP="00BF6ACB">
                      <w:pPr>
                        <w:rPr>
                          <w:sz w:val="20"/>
                          <w:szCs w:val="20"/>
                        </w:rPr>
                      </w:pPr>
                      <w:r>
                        <w:rPr>
                          <w:sz w:val="20"/>
                        </w:rPr>
                        <w:t xml:space="preserve">30 napon belül </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702272" behindDoc="0" locked="0" layoutInCell="1" allowOverlap="1" wp14:anchorId="2498DD4F" wp14:editId="176EF44C">
                <wp:simplePos x="0" y="0"/>
                <wp:positionH relativeFrom="column">
                  <wp:posOffset>-76200</wp:posOffset>
                </wp:positionH>
                <wp:positionV relativeFrom="paragraph">
                  <wp:posOffset>1790065</wp:posOffset>
                </wp:positionV>
                <wp:extent cx="1714500" cy="318770"/>
                <wp:effectExtent l="0" t="0" r="0" b="5080"/>
                <wp:wrapNone/>
                <wp:docPr id="32" name="22ff2120fdfb4580854bf638ca56be8f"/>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10B" w:rsidRPr="000C7AAA" w:rsidRDefault="002D610B" w:rsidP="00BF6ACB">
                            <w:pPr>
                              <w:rPr>
                                <w:sz w:val="20"/>
                                <w:szCs w:val="20"/>
                              </w:rPr>
                            </w:pPr>
                            <w:proofErr w:type="gramStart"/>
                            <w:r>
                              <w:rPr>
                                <w:sz w:val="20"/>
                              </w:rPr>
                              <w:t>az</w:t>
                            </w:r>
                            <w:proofErr w:type="gramEnd"/>
                            <w:r>
                              <w:rPr>
                                <w:sz w:val="20"/>
                              </w:rPr>
                              <w:t xml:space="preserve"> adós nem fizetésképtelen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22ff2120fdfb4580854bf638ca56be8f" o:spid="_x0000_s1119" type="#_x0000_t202" style="position:absolute;margin-left:-6pt;margin-top:140.95pt;width:135pt;height:25.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" stroked="f">
                <v:textbox>
                  <w:txbxContent>
                    <w:p w:rsidR="002D610B" w:rsidRPr="000C7AAA" w:rsidRDefault="002D610B" w:rsidP="00BF6ACB">
                      <w:pPr>
                        <w:rPr>
                          <w:sz w:val="20"/>
                          <w:szCs w:val="20"/>
                        </w:rPr>
                      </w:pPr>
                      <w:proofErr w:type="gramStart"/>
                      <w:r>
                        <w:rPr>
                          <w:sz w:val="20"/>
                        </w:rPr>
                        <w:t>az</w:t>
                      </w:r>
                      <w:proofErr w:type="gramEnd"/>
                      <w:r>
                        <w:rPr>
                          <w:sz w:val="20"/>
                        </w:rPr>
                        <w:t xml:space="preserve"> adós nem fizetésképtelen </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700224" behindDoc="0" locked="0" layoutInCell="1" allowOverlap="1" wp14:anchorId="169EBDDC" wp14:editId="62E667E1">
                <wp:simplePos x="0" y="0"/>
                <wp:positionH relativeFrom="column">
                  <wp:posOffset>228600</wp:posOffset>
                </wp:positionH>
                <wp:positionV relativeFrom="paragraph">
                  <wp:posOffset>2400935</wp:posOffset>
                </wp:positionV>
                <wp:extent cx="1332230" cy="419735"/>
                <wp:effectExtent l="0" t="0" r="20320" b="18415"/>
                <wp:wrapNone/>
                <wp:docPr id="31" name="90529459c01a4809942ce3bad60cbe3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419735"/>
                        </a:xfrm>
                        <a:prstGeom prst="rect">
                          <a:avLst/>
                        </a:prstGeom>
                        <a:solidFill>
                          <a:srgbClr val="FFFFFF"/>
                        </a:solidFill>
                        <a:ln w="9525">
                          <a:solidFill>
                            <a:srgbClr val="000000"/>
                          </a:solidFill>
                          <a:miter lim="800000"/>
                          <a:headEnd/>
                          <a:tailEnd/>
                        </a:ln>
                      </wps:spPr>
                      <wps:txbx>
                        <w:txbxContent>
                          <w:p w:rsidR="002D610B" w:rsidRPr="00E9631F" w:rsidRDefault="002D610B" w:rsidP="00BF6ACB">
                            <w:pPr>
                              <w:jc w:val="center"/>
                              <w:rPr>
                                <w:sz w:val="20"/>
                                <w:szCs w:val="20"/>
                              </w:rPr>
                            </w:pPr>
                            <w:r>
                              <w:rPr>
                                <w:sz w:val="20"/>
                              </w:rPr>
                              <w:t>Az eljárás lezárása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90529459c01a4809942ce3bad60cbe3d" o:spid="_x0000_s1120" type="#_x0000_t202" style="position:absolute;margin-left:18pt;margin-top:189.05pt;width:104.9pt;height:33.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">
                <v:textbox>
                  <w:txbxContent>
                    <w:p w:rsidR="002D610B" w:rsidRPr="00E9631F" w:rsidRDefault="002D610B" w:rsidP="00BF6ACB">
                      <w:pPr>
                        <w:jc w:val="center"/>
                        <w:rPr>
                          <w:sz w:val="20"/>
                          <w:szCs w:val="20"/>
                        </w:rPr>
                      </w:pPr>
                      <w:r>
                        <w:rPr>
                          <w:sz w:val="20"/>
                        </w:rPr>
                        <w:t>Az eljárás lezárása</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696128" behindDoc="0" locked="0" layoutInCell="1" allowOverlap="1" wp14:anchorId="3C2BFD1A" wp14:editId="7E99AA87">
                <wp:simplePos x="0" y="0"/>
                <wp:positionH relativeFrom="column">
                  <wp:posOffset>1276350</wp:posOffset>
                </wp:positionH>
                <wp:positionV relativeFrom="paragraph">
                  <wp:posOffset>1697990</wp:posOffset>
                </wp:positionV>
                <wp:extent cx="1009650" cy="663575"/>
                <wp:effectExtent l="38100" t="0" r="19050" b="60325"/>
                <wp:wrapNone/>
                <wp:docPr id="3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09650" cy="663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pt,133.7pt" to="180pt,1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694080" behindDoc="0" locked="0" layoutInCell="1" allowOverlap="1" wp14:anchorId="6830064F" wp14:editId="156EFBEA">
                <wp:simplePos x="0" y="0"/>
                <wp:positionH relativeFrom="column">
                  <wp:posOffset>1371600</wp:posOffset>
                </wp:positionH>
                <wp:positionV relativeFrom="paragraph">
                  <wp:posOffset>1218565</wp:posOffset>
                </wp:positionV>
                <wp:extent cx="2057400" cy="479425"/>
                <wp:effectExtent l="0" t="0" r="19050" b="15875"/>
                <wp:wrapNone/>
                <wp:docPr id="29" name="1d23b075ffd94254a14d38fdebf99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79425"/>
                        </a:xfrm>
                        <a:prstGeom prst="rect">
                          <a:avLst/>
                        </a:prstGeom>
                        <a:solidFill>
                          <a:srgbClr val="FFFFFF"/>
                        </a:solidFill>
                        <a:ln w="9525">
                          <a:solidFill>
                            <a:srgbClr val="000000"/>
                          </a:solidFill>
                          <a:miter lim="800000"/>
                          <a:headEnd/>
                          <a:tailEnd/>
                        </a:ln>
                      </wps:spPr>
                      <wps:txbx>
                        <w:txbxContent>
                          <w:p w:rsidR="002D610B" w:rsidRPr="00E9631F" w:rsidRDefault="002D610B" w:rsidP="00BF6ACB">
                            <w:pPr>
                              <w:jc w:val="center"/>
                              <w:rPr>
                                <w:sz w:val="20"/>
                                <w:szCs w:val="20"/>
                              </w:rPr>
                            </w:pPr>
                            <w:r>
                              <w:rPr>
                                <w:sz w:val="20"/>
                              </w:rPr>
                              <w:t>A fizetésképtelenség vizsgálata; a bíróság határozata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1d23b075ffd94254a14d38fdebf99088" o:spid="_x0000_s1121" type="#_x0000_t202" style="position:absolute;margin-left:108pt;margin-top:95.95pt;width:162pt;height:37.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">
                <v:textbox>
                  <w:txbxContent>
                    <w:p w:rsidR="002D610B" w:rsidRPr="00E9631F" w:rsidRDefault="002D610B" w:rsidP="00BF6ACB">
                      <w:pPr>
                        <w:jc w:val="center"/>
                        <w:rPr>
                          <w:sz w:val="20"/>
                          <w:szCs w:val="20"/>
                        </w:rPr>
                      </w:pPr>
                      <w:r>
                        <w:rPr>
                          <w:sz w:val="20"/>
                        </w:rPr>
                        <w:t>A fizetésképtelenség vizsgálata; a bíróság határozata</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692032" behindDoc="0" locked="0" layoutInCell="1" allowOverlap="1" wp14:anchorId="5DC2F31B" wp14:editId="1AF54E5E">
                <wp:simplePos x="0" y="0"/>
                <wp:positionH relativeFrom="column">
                  <wp:posOffset>2419350</wp:posOffset>
                </wp:positionH>
                <wp:positionV relativeFrom="paragraph">
                  <wp:posOffset>675640</wp:posOffset>
                </wp:positionV>
                <wp:extent cx="1029335" cy="266700"/>
                <wp:effectExtent l="0" t="0" r="0" b="0"/>
                <wp:wrapNone/>
                <wp:docPr id="28" name="645f7b5a2e644f0cbad34778132b8ef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3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610B" w:rsidRPr="000C7AAA" w:rsidRDefault="002D610B" w:rsidP="00BF6ACB">
                            <w:pPr>
                              <w:rPr>
                                <w:sz w:val="20"/>
                                <w:szCs w:val="20"/>
                              </w:rPr>
                            </w:pPr>
                            <w:r>
                              <w:rPr>
                                <w:sz w:val="20"/>
                              </w:rPr>
                              <w:t>60 napon belül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645f7b5a2e644f0cbad34778132b8efd" o:spid="_x0000_s1122" type="#_x0000_t202" style="position:absolute;margin-left:190.5pt;margin-top:53.2pt;width:81.0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" stroked="f">
                <v:textbox>
                  <w:txbxContent>
                    <w:p w:rsidR="002D610B" w:rsidRPr="000C7AAA" w:rsidRDefault="002D610B" w:rsidP="00BF6ACB">
                      <w:pPr>
                        <w:rPr>
                          <w:sz w:val="20"/>
                          <w:szCs w:val="20"/>
                        </w:rPr>
                      </w:pPr>
                      <w:r>
                        <w:rPr>
                          <w:sz w:val="20"/>
                        </w:rPr>
                        <w:t>60 napon belül</w:t>
                      </w:r>
                    </w:p>
                  </w:txbxContent>
                </v:textbox>
              </v:shape>
            </w:pict>
          </mc:Fallback>
        </mc:AlternateContent>
      </w:r>
      <w:r>
        <w:rPr>
          <w:rFonts w:asciiTheme="minorHAnsi" w:hAnsiTheme="minorHAnsi"/>
          <w:noProof/>
          <w:lang w:bidi="ar-SA"/>
        </w:rPr>
        <mc:AlternateContent>
          <mc:Choice Requires="wps">
            <w:drawing>
              <wp:anchor distT="0" distB="0" distL="114300" distR="114300" simplePos="0" relativeHeight="251689984" behindDoc="0" locked="0" layoutInCell="1" allowOverlap="1" wp14:anchorId="4FCC33C7" wp14:editId="67EB4C02">
                <wp:simplePos x="0" y="0"/>
                <wp:positionH relativeFrom="column">
                  <wp:posOffset>2400300</wp:posOffset>
                </wp:positionH>
                <wp:positionV relativeFrom="paragraph">
                  <wp:posOffset>441325</wp:posOffset>
                </wp:positionV>
                <wp:extent cx="635" cy="777240"/>
                <wp:effectExtent l="76200" t="0" r="75565" b="60960"/>
                <wp:wrapNone/>
                <wp:docPr id="2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777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34.75pt" to="189.05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683840" behindDoc="0" locked="0" layoutInCell="1" allowOverlap="1" wp14:anchorId="48CFC616" wp14:editId="65EF2044">
                <wp:simplePos x="0" y="0"/>
                <wp:positionH relativeFrom="column">
                  <wp:posOffset>3694430</wp:posOffset>
                </wp:positionH>
                <wp:positionV relativeFrom="paragraph">
                  <wp:posOffset>2904490</wp:posOffset>
                </wp:positionV>
                <wp:extent cx="563245" cy="670560"/>
                <wp:effectExtent l="0" t="0" r="65405" b="53340"/>
                <wp:wrapNone/>
                <wp:docPr id="2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245" cy="6705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9pt,228.7pt" to="335.2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681792" behindDoc="0" locked="0" layoutInCell="1" allowOverlap="1" wp14:anchorId="21B5CE96" wp14:editId="56C309F6">
                <wp:simplePos x="0" y="0"/>
                <wp:positionH relativeFrom="column">
                  <wp:posOffset>2167255</wp:posOffset>
                </wp:positionH>
                <wp:positionV relativeFrom="paragraph">
                  <wp:posOffset>2904490</wp:posOffset>
                </wp:positionV>
                <wp:extent cx="1223010" cy="876300"/>
                <wp:effectExtent l="38100" t="0" r="15240" b="57150"/>
                <wp:wrapNone/>
                <wp:docPr id="2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3010" cy="876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65pt,228.7pt" to="266.9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">
                <v:stroke endarrow="block"/>
              </v:line>
            </w:pict>
          </mc:Fallback>
        </mc:AlternateContent>
      </w:r>
      <w:r>
        <w:rPr>
          <w:rFonts w:asciiTheme="minorHAnsi" w:hAnsiTheme="minorHAnsi"/>
          <w:noProof/>
          <w:lang w:bidi="ar-SA"/>
        </w:rPr>
        <mc:AlternateContent>
          <mc:Choice Requires="wps">
            <w:drawing>
              <wp:anchor distT="0" distB="0" distL="114300" distR="114300" simplePos="0" relativeHeight="251678720" behindDoc="0" locked="0" layoutInCell="1" allowOverlap="1" wp14:anchorId="1362086C" wp14:editId="32E9D9D9">
                <wp:simplePos x="0" y="0"/>
                <wp:positionH relativeFrom="column">
                  <wp:posOffset>3464560</wp:posOffset>
                </wp:positionH>
                <wp:positionV relativeFrom="paragraph">
                  <wp:posOffset>2904490</wp:posOffset>
                </wp:positionV>
                <wp:extent cx="164465" cy="1400175"/>
                <wp:effectExtent l="38100" t="0" r="26035" b="47625"/>
                <wp:wrapNone/>
                <wp:docPr id="17"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4465" cy="1400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8pt,228.7pt" to="285.75pt,3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">
                <v:stroke endarrow="block"/>
              </v:line>
            </w:pict>
          </mc:Fallback>
        </mc:AlternateContent>
      </w:r>
    </w:p>
    <w:p w:rsidR="00BF6ACB" w:rsidRPr="003249D9" w:rsidRDefault="00D53915">
      <w:pPr>
        <w:pStyle w:val="TASSubsection"/>
        <w:framePr w:wrap="around"/>
        <w:rPr>
          <w:rFonts w:asciiTheme="minorHAnsi" w:hAnsiTheme="minorHAnsi"/>
        </w:rPr>
      </w:pPr>
      <w:bookmarkStart w:id="37" w:name="_Toc401154931"/>
      <w:bookmarkStart w:id="38" w:name="_Toc403750034"/>
      <w:r>
        <w:rPr>
          <w:rFonts w:asciiTheme="minorHAnsi" w:hAnsiTheme="minorHAnsi"/>
        </w:rPr>
        <w:lastRenderedPageBreak/>
        <w:t xml:space="preserve">D </w:t>
      </w:r>
      <w:r w:rsidR="00AB7CFF" w:rsidRPr="003249D9">
        <w:rPr>
          <w:rFonts w:asciiTheme="minorHAnsi" w:hAnsiTheme="minorHAnsi"/>
        </w:rPr>
        <w:t>Melléklet</w:t>
      </w:r>
      <w:bookmarkEnd w:id="37"/>
      <w:bookmarkEnd w:id="38"/>
    </w:p>
    <w:p w:rsidR="00BF6ACB" w:rsidRPr="003249D9" w:rsidRDefault="00AB7CFF">
      <w:pPr>
        <w:pStyle w:val="TASStraplinefirst"/>
        <w:framePr w:wrap="notBeside"/>
        <w:rPr>
          <w:rFonts w:asciiTheme="minorHAnsi" w:hAnsiTheme="minorHAnsi"/>
        </w:rPr>
      </w:pPr>
      <w:r w:rsidRPr="003249D9">
        <w:rPr>
          <w:rFonts w:asciiTheme="minorHAnsi" w:hAnsiTheme="minorHAnsi"/>
        </w:rPr>
        <w:t xml:space="preserve">A PÉNZÜGYI, SZÁMVITELI, ADÓ- </w:t>
      </w:r>
      <w:proofErr w:type="gramStart"/>
      <w:r w:rsidRPr="003249D9">
        <w:rPr>
          <w:rFonts w:asciiTheme="minorHAnsi" w:hAnsiTheme="minorHAnsi"/>
        </w:rPr>
        <w:t>ÉS</w:t>
      </w:r>
      <w:proofErr w:type="gramEnd"/>
      <w:r w:rsidRPr="003249D9">
        <w:rPr>
          <w:rFonts w:asciiTheme="minorHAnsi" w:hAnsiTheme="minorHAnsi"/>
        </w:rPr>
        <w:t xml:space="preserve"> JOGÜGYI INTERJÚKÉRDÉSEK LISTÁJA</w:t>
      </w:r>
    </w:p>
    <w:tbl>
      <w:tblPr>
        <w:tblStyle w:val="TableGrid"/>
        <w:tblpPr w:leftFromText="180" w:rightFromText="180" w:horzAnchor="margin" w:tblpY="-274"/>
        <w:tblW w:w="10170" w:type="dxa"/>
        <w:tblLook w:val="04A0" w:firstRow="1" w:lastRow="0" w:firstColumn="1" w:lastColumn="0" w:noHBand="0" w:noVBand="1"/>
      </w:tblPr>
      <w:tblGrid>
        <w:gridCol w:w="3375"/>
        <w:gridCol w:w="6795"/>
      </w:tblGrid>
      <w:tr w:rsidR="00BF6ACB" w:rsidRPr="003249D9" w:rsidTr="00BF6ACB">
        <w:tc>
          <w:tcPr>
            <w:tcW w:w="3375" w:type="dxa"/>
          </w:tcPr>
          <w:p w:rsidR="00BF6ACB" w:rsidRPr="003249D9" w:rsidRDefault="00AB7CFF" w:rsidP="00BF6ACB">
            <w:pPr>
              <w:pStyle w:val="NormalWeb"/>
              <w:spacing w:before="0" w:beforeAutospacing="0" w:after="0" w:afterAutospacing="0"/>
              <w:rPr>
                <w:rFonts w:asciiTheme="minorHAnsi" w:hAnsiTheme="minorHAnsi"/>
                <w:b/>
                <w:sz w:val="20"/>
                <w:szCs w:val="20"/>
              </w:rPr>
            </w:pPr>
            <w:r w:rsidRPr="003249D9">
              <w:rPr>
                <w:rFonts w:asciiTheme="minorHAnsi" w:eastAsiaTheme="minorEastAsia" w:hAnsiTheme="minorHAnsi"/>
                <w:b/>
                <w:color w:val="000000" w:themeColor="text1"/>
                <w:kern w:val="24"/>
                <w:sz w:val="20"/>
              </w:rPr>
              <w:t xml:space="preserve">A </w:t>
            </w:r>
            <w:proofErr w:type="spellStart"/>
            <w:r w:rsidRPr="003249D9">
              <w:rPr>
                <w:rFonts w:asciiTheme="minorHAnsi" w:eastAsiaTheme="minorEastAsia" w:hAnsiTheme="minorHAnsi"/>
                <w:b/>
                <w:color w:val="000000" w:themeColor="text1"/>
                <w:kern w:val="24"/>
                <w:sz w:val="20"/>
              </w:rPr>
              <w:t>nemteljesítő</w:t>
            </w:r>
            <w:proofErr w:type="spellEnd"/>
            <w:r w:rsidRPr="003249D9">
              <w:rPr>
                <w:rFonts w:asciiTheme="minorHAnsi" w:eastAsiaTheme="minorEastAsia" w:hAnsiTheme="minorHAnsi"/>
                <w:b/>
                <w:color w:val="000000" w:themeColor="text1"/>
                <w:kern w:val="24"/>
                <w:sz w:val="20"/>
              </w:rPr>
              <w:t xml:space="preserve"> hitelek terén kialakult helyzet fő okai</w:t>
            </w:r>
          </w:p>
        </w:tc>
        <w:tc>
          <w:tcPr>
            <w:tcW w:w="6795" w:type="dxa"/>
          </w:tcPr>
          <w:p w:rsidR="00BF6ACB" w:rsidRPr="003249D9" w:rsidRDefault="00AB7CFF" w:rsidP="009A73FD">
            <w:pPr>
              <w:pStyle w:val="ListParagraph"/>
              <w:numPr>
                <w:ilvl w:val="0"/>
                <w:numId w:val="48"/>
              </w:numPr>
              <w:tabs>
                <w:tab w:val="clear" w:pos="720"/>
              </w:tabs>
              <w:ind w:left="357" w:hanging="357"/>
              <w:rPr>
                <w:rFonts w:asciiTheme="minorHAnsi" w:hAnsiTheme="minorHAnsi"/>
                <w:sz w:val="20"/>
                <w:szCs w:val="20"/>
              </w:rPr>
            </w:pPr>
            <w:r w:rsidRPr="003249D9">
              <w:rPr>
                <w:rFonts w:asciiTheme="minorHAnsi" w:eastAsiaTheme="minorEastAsia" w:hAnsiTheme="minorHAnsi"/>
                <w:kern w:val="24"/>
                <w:sz w:val="20"/>
              </w:rPr>
              <w:t xml:space="preserve">Ismertesse, hogy a vállalati ügyfelek mely tényezőkben látják a </w:t>
            </w:r>
            <w:proofErr w:type="spellStart"/>
            <w:r w:rsidRPr="003249D9">
              <w:rPr>
                <w:rFonts w:asciiTheme="minorHAnsi" w:eastAsiaTheme="minorEastAsia" w:hAnsiTheme="minorHAnsi"/>
                <w:kern w:val="24"/>
                <w:sz w:val="20"/>
              </w:rPr>
              <w:t>nemteljesítő</w:t>
            </w:r>
            <w:proofErr w:type="spellEnd"/>
            <w:r w:rsidRPr="003249D9">
              <w:rPr>
                <w:rFonts w:asciiTheme="minorHAnsi" w:eastAsiaTheme="minorEastAsia" w:hAnsiTheme="minorHAnsi"/>
                <w:kern w:val="24"/>
                <w:sz w:val="20"/>
              </w:rPr>
              <w:t xml:space="preserve"> hitelek állományában bekövetkezett növekedés okait.</w:t>
            </w:r>
          </w:p>
          <w:p w:rsidR="00BF6ACB" w:rsidRPr="003249D9" w:rsidRDefault="00AB7CFF" w:rsidP="009A73FD">
            <w:pPr>
              <w:pStyle w:val="ListParagraph"/>
              <w:numPr>
                <w:ilvl w:val="0"/>
                <w:numId w:val="48"/>
              </w:numPr>
              <w:tabs>
                <w:tab w:val="clear" w:pos="720"/>
              </w:tabs>
              <w:ind w:left="357" w:hanging="357"/>
              <w:rPr>
                <w:rFonts w:asciiTheme="minorHAnsi" w:hAnsiTheme="minorHAnsi"/>
                <w:sz w:val="20"/>
                <w:szCs w:val="20"/>
              </w:rPr>
            </w:pPr>
            <w:r w:rsidRPr="003249D9">
              <w:rPr>
                <w:rFonts w:asciiTheme="minorHAnsi" w:eastAsiaTheme="minorEastAsia" w:hAnsiTheme="minorHAnsi"/>
                <w:kern w:val="24"/>
                <w:sz w:val="20"/>
              </w:rPr>
              <w:t xml:space="preserve">Ismertesse a hitelteljesítés fenntartása érdekében az adósok számára ajánlott </w:t>
            </w:r>
            <w:proofErr w:type="spellStart"/>
            <w:r w:rsidRPr="003249D9">
              <w:rPr>
                <w:rFonts w:asciiTheme="minorHAnsi" w:eastAsiaTheme="minorEastAsia" w:hAnsiTheme="minorHAnsi"/>
                <w:kern w:val="24"/>
                <w:sz w:val="20"/>
              </w:rPr>
              <w:t>restrukturálási</w:t>
            </w:r>
            <w:proofErr w:type="spellEnd"/>
            <w:r w:rsidRPr="003249D9">
              <w:rPr>
                <w:rFonts w:asciiTheme="minorHAnsi" w:eastAsiaTheme="minorEastAsia" w:hAnsiTheme="minorHAnsi"/>
                <w:kern w:val="24"/>
                <w:sz w:val="20"/>
              </w:rPr>
              <w:t xml:space="preserve"> módszerek/megoldások fő típusait.</w:t>
            </w:r>
          </w:p>
          <w:p w:rsidR="00BF6ACB" w:rsidRPr="003249D9" w:rsidRDefault="00AB7CFF" w:rsidP="009A73FD">
            <w:pPr>
              <w:pStyle w:val="ListParagraph"/>
              <w:numPr>
                <w:ilvl w:val="0"/>
                <w:numId w:val="48"/>
              </w:numPr>
              <w:tabs>
                <w:tab w:val="clear" w:pos="720"/>
              </w:tabs>
              <w:ind w:left="357" w:hanging="357"/>
              <w:rPr>
                <w:rFonts w:asciiTheme="minorHAnsi" w:hAnsiTheme="minorHAnsi"/>
                <w:sz w:val="20"/>
                <w:szCs w:val="20"/>
              </w:rPr>
            </w:pPr>
            <w:r w:rsidRPr="003249D9">
              <w:rPr>
                <w:rFonts w:asciiTheme="minorHAnsi" w:eastAsiaTheme="minorEastAsia" w:hAnsiTheme="minorHAnsi"/>
                <w:kern w:val="24"/>
                <w:sz w:val="20"/>
              </w:rPr>
              <w:t xml:space="preserve">Ismertesse ágazati bontásban azokat a fő okokat, amelyek miatt az adósok a </w:t>
            </w:r>
            <w:proofErr w:type="spellStart"/>
            <w:r w:rsidRPr="003249D9">
              <w:rPr>
                <w:rFonts w:asciiTheme="minorHAnsi" w:eastAsiaTheme="minorEastAsia" w:hAnsiTheme="minorHAnsi"/>
                <w:kern w:val="24"/>
                <w:sz w:val="20"/>
              </w:rPr>
              <w:t>restrukturálást</w:t>
            </w:r>
            <w:proofErr w:type="spellEnd"/>
            <w:r w:rsidRPr="003249D9">
              <w:rPr>
                <w:rFonts w:asciiTheme="minorHAnsi" w:eastAsiaTheme="minorEastAsia" w:hAnsiTheme="minorHAnsi"/>
                <w:kern w:val="24"/>
                <w:sz w:val="20"/>
              </w:rPr>
              <w:t xml:space="preserve"> követő 2 éven belül ismét csődhelyzetbe kerülnek.</w:t>
            </w:r>
          </w:p>
          <w:p w:rsidR="00BF6ACB" w:rsidRPr="003249D9" w:rsidRDefault="00AB7CFF" w:rsidP="009A73FD">
            <w:pPr>
              <w:pStyle w:val="ListParagraph"/>
              <w:numPr>
                <w:ilvl w:val="0"/>
                <w:numId w:val="48"/>
              </w:numPr>
              <w:tabs>
                <w:tab w:val="clear" w:pos="720"/>
              </w:tabs>
              <w:ind w:left="357" w:hanging="357"/>
              <w:rPr>
                <w:rFonts w:asciiTheme="minorHAnsi" w:hAnsiTheme="minorHAnsi"/>
                <w:sz w:val="20"/>
                <w:szCs w:val="20"/>
              </w:rPr>
            </w:pPr>
            <w:r w:rsidRPr="003249D9">
              <w:rPr>
                <w:rFonts w:asciiTheme="minorHAnsi" w:eastAsiaTheme="minorEastAsia" w:hAnsiTheme="minorHAnsi"/>
                <w:kern w:val="24"/>
                <w:sz w:val="20"/>
              </w:rPr>
              <w:t xml:space="preserve">Milyen egyéb tényezők okozták a </w:t>
            </w:r>
            <w:proofErr w:type="spellStart"/>
            <w:r w:rsidRPr="003249D9">
              <w:rPr>
                <w:rFonts w:asciiTheme="minorHAnsi" w:eastAsiaTheme="minorEastAsia" w:hAnsiTheme="minorHAnsi"/>
                <w:kern w:val="24"/>
                <w:sz w:val="20"/>
              </w:rPr>
              <w:t>nemteljesítő</w:t>
            </w:r>
            <w:proofErr w:type="spellEnd"/>
            <w:r w:rsidRPr="003249D9">
              <w:rPr>
                <w:rFonts w:asciiTheme="minorHAnsi" w:eastAsiaTheme="minorEastAsia" w:hAnsiTheme="minorHAnsi"/>
                <w:kern w:val="24"/>
                <w:sz w:val="20"/>
              </w:rPr>
              <w:t xml:space="preserve"> hitelek állományának növekedését? </w:t>
            </w:r>
          </w:p>
        </w:tc>
      </w:tr>
      <w:tr w:rsidR="00BF6ACB" w:rsidRPr="003249D9" w:rsidTr="00BF6ACB">
        <w:tc>
          <w:tcPr>
            <w:tcW w:w="3375" w:type="dxa"/>
          </w:tcPr>
          <w:p w:rsidR="00BF6ACB" w:rsidRPr="003249D9" w:rsidRDefault="00AB7CFF" w:rsidP="00BF6ACB">
            <w:pPr>
              <w:pStyle w:val="NormalWeb"/>
              <w:spacing w:before="0" w:beforeAutospacing="0" w:after="0" w:afterAutospacing="0"/>
              <w:rPr>
                <w:rFonts w:asciiTheme="minorHAnsi" w:hAnsiTheme="minorHAnsi"/>
                <w:b/>
                <w:sz w:val="20"/>
                <w:szCs w:val="20"/>
              </w:rPr>
            </w:pPr>
            <w:r w:rsidRPr="003249D9">
              <w:rPr>
                <w:rFonts w:asciiTheme="minorHAnsi" w:hAnsiTheme="minorHAnsi"/>
                <w:b/>
                <w:color w:val="000000" w:themeColor="text1"/>
                <w:kern w:val="24"/>
                <w:sz w:val="20"/>
              </w:rPr>
              <w:t xml:space="preserve">A </w:t>
            </w:r>
            <w:proofErr w:type="spellStart"/>
            <w:r w:rsidRPr="003249D9">
              <w:rPr>
                <w:rFonts w:asciiTheme="minorHAnsi" w:hAnsiTheme="minorHAnsi"/>
                <w:b/>
                <w:color w:val="000000" w:themeColor="text1"/>
                <w:kern w:val="24"/>
                <w:sz w:val="20"/>
              </w:rPr>
              <w:t>nemteljesítő</w:t>
            </w:r>
            <w:proofErr w:type="spellEnd"/>
            <w:r w:rsidRPr="003249D9">
              <w:rPr>
                <w:rFonts w:asciiTheme="minorHAnsi" w:hAnsiTheme="minorHAnsi"/>
                <w:b/>
                <w:color w:val="000000" w:themeColor="text1"/>
                <w:kern w:val="24"/>
                <w:sz w:val="20"/>
              </w:rPr>
              <w:t xml:space="preserve"> hitelekkel kapcsolatos döntéshozatalt meghatározó kulcsfontosságú tényezők</w:t>
            </w:r>
          </w:p>
        </w:tc>
        <w:tc>
          <w:tcPr>
            <w:tcW w:w="6795" w:type="dxa"/>
          </w:tcPr>
          <w:p w:rsidR="00BF6ACB" w:rsidRPr="003249D9" w:rsidRDefault="00AB7CFF" w:rsidP="009A73FD">
            <w:pPr>
              <w:pStyle w:val="ListParagraph"/>
              <w:numPr>
                <w:ilvl w:val="0"/>
                <w:numId w:val="49"/>
              </w:numPr>
              <w:tabs>
                <w:tab w:val="clear" w:pos="720"/>
              </w:tabs>
              <w:ind w:left="357" w:hanging="357"/>
              <w:rPr>
                <w:rFonts w:asciiTheme="minorHAnsi" w:hAnsiTheme="minorHAnsi"/>
                <w:sz w:val="20"/>
                <w:szCs w:val="20"/>
              </w:rPr>
            </w:pPr>
            <w:r w:rsidRPr="003249D9">
              <w:rPr>
                <w:rFonts w:asciiTheme="minorHAnsi" w:eastAsiaTheme="minorEastAsia" w:hAnsiTheme="minorHAnsi"/>
                <w:kern w:val="24"/>
                <w:sz w:val="20"/>
              </w:rPr>
              <w:t xml:space="preserve">Mutassa be a rossz hitelek </w:t>
            </w:r>
            <w:proofErr w:type="spellStart"/>
            <w:r w:rsidRPr="003249D9">
              <w:rPr>
                <w:rFonts w:asciiTheme="minorHAnsi" w:eastAsiaTheme="minorEastAsia" w:hAnsiTheme="minorHAnsi"/>
                <w:kern w:val="24"/>
                <w:sz w:val="20"/>
              </w:rPr>
              <w:t>restrukturálására</w:t>
            </w:r>
            <w:proofErr w:type="spellEnd"/>
            <w:r w:rsidRPr="003249D9">
              <w:rPr>
                <w:rFonts w:asciiTheme="minorHAnsi" w:eastAsiaTheme="minorEastAsia" w:hAnsiTheme="minorHAnsi"/>
                <w:kern w:val="24"/>
                <w:sz w:val="20"/>
              </w:rPr>
              <w:t>/kiváltására alkalmazott megközelítési módokat.</w:t>
            </w:r>
          </w:p>
          <w:p w:rsidR="00BF6ACB" w:rsidRPr="003249D9" w:rsidRDefault="00AB7CFF" w:rsidP="009A73FD">
            <w:pPr>
              <w:pStyle w:val="ListParagraph"/>
              <w:numPr>
                <w:ilvl w:val="0"/>
                <w:numId w:val="49"/>
              </w:numPr>
              <w:tabs>
                <w:tab w:val="clear" w:pos="720"/>
              </w:tabs>
              <w:ind w:left="357" w:hanging="357"/>
              <w:rPr>
                <w:rFonts w:asciiTheme="minorHAnsi" w:hAnsiTheme="minorHAnsi"/>
                <w:sz w:val="20"/>
                <w:szCs w:val="20"/>
              </w:rPr>
            </w:pPr>
            <w:r w:rsidRPr="003249D9">
              <w:rPr>
                <w:rFonts w:asciiTheme="minorHAnsi" w:eastAsiaTheme="minorEastAsia" w:hAnsiTheme="minorHAnsi"/>
                <w:kern w:val="24"/>
                <w:sz w:val="20"/>
              </w:rPr>
              <w:t xml:space="preserve">Ismertesse a </w:t>
            </w:r>
            <w:proofErr w:type="spellStart"/>
            <w:r w:rsidRPr="003249D9">
              <w:rPr>
                <w:rFonts w:asciiTheme="minorHAnsi" w:eastAsiaTheme="minorEastAsia" w:hAnsiTheme="minorHAnsi"/>
                <w:kern w:val="24"/>
                <w:sz w:val="20"/>
              </w:rPr>
              <w:t>nemteljesítő</w:t>
            </w:r>
            <w:proofErr w:type="spellEnd"/>
            <w:r w:rsidRPr="003249D9">
              <w:rPr>
                <w:rFonts w:asciiTheme="minorHAnsi" w:eastAsiaTheme="minorEastAsia" w:hAnsiTheme="minorHAnsi"/>
                <w:kern w:val="24"/>
                <w:sz w:val="20"/>
              </w:rPr>
              <w:t xml:space="preserve"> hitelekkel kapcsolatos döntéshozatalt motiváló fő tényezőket.</w:t>
            </w:r>
          </w:p>
        </w:tc>
      </w:tr>
      <w:tr w:rsidR="00BF6ACB" w:rsidRPr="003249D9" w:rsidTr="00BF6ACB">
        <w:tc>
          <w:tcPr>
            <w:tcW w:w="3375" w:type="dxa"/>
          </w:tcPr>
          <w:p w:rsidR="00BF6ACB" w:rsidRPr="003249D9" w:rsidRDefault="00AB7CFF" w:rsidP="00BF6ACB">
            <w:pPr>
              <w:pStyle w:val="NormalWeb"/>
              <w:spacing w:before="0" w:beforeAutospacing="0" w:after="0" w:afterAutospacing="0"/>
              <w:rPr>
                <w:rFonts w:asciiTheme="minorHAnsi" w:hAnsiTheme="minorHAnsi"/>
                <w:b/>
                <w:sz w:val="20"/>
                <w:szCs w:val="20"/>
              </w:rPr>
            </w:pPr>
            <w:r w:rsidRPr="003249D9">
              <w:rPr>
                <w:rFonts w:asciiTheme="minorHAnsi" w:hAnsiTheme="minorHAnsi"/>
                <w:b/>
                <w:color w:val="000000" w:themeColor="text1"/>
                <w:kern w:val="24"/>
                <w:sz w:val="20"/>
              </w:rPr>
              <w:t xml:space="preserve">A </w:t>
            </w:r>
            <w:proofErr w:type="spellStart"/>
            <w:r w:rsidRPr="003249D9">
              <w:rPr>
                <w:rFonts w:asciiTheme="minorHAnsi" w:hAnsiTheme="minorHAnsi"/>
                <w:b/>
                <w:color w:val="000000" w:themeColor="text1"/>
                <w:kern w:val="24"/>
                <w:sz w:val="20"/>
              </w:rPr>
              <w:t>nemteljesítő</w:t>
            </w:r>
            <w:proofErr w:type="spellEnd"/>
            <w:r w:rsidRPr="003249D9">
              <w:rPr>
                <w:rFonts w:asciiTheme="minorHAnsi" w:hAnsiTheme="minorHAnsi"/>
                <w:b/>
                <w:color w:val="000000" w:themeColor="text1"/>
                <w:kern w:val="24"/>
                <w:sz w:val="20"/>
              </w:rPr>
              <w:t xml:space="preserve"> hitelek állományának csökkentését akadályozó kulcsfontosságú tényezők </w:t>
            </w:r>
          </w:p>
        </w:tc>
        <w:tc>
          <w:tcPr>
            <w:tcW w:w="6795" w:type="dxa"/>
          </w:tcPr>
          <w:p w:rsidR="00BF6ACB" w:rsidRPr="003249D9" w:rsidRDefault="00AB7CFF" w:rsidP="009A73FD">
            <w:pPr>
              <w:pStyle w:val="ListParagraph"/>
              <w:numPr>
                <w:ilvl w:val="0"/>
                <w:numId w:val="50"/>
              </w:numPr>
              <w:tabs>
                <w:tab w:val="clear" w:pos="720"/>
              </w:tabs>
              <w:ind w:left="357" w:hanging="357"/>
              <w:rPr>
                <w:rFonts w:asciiTheme="minorHAnsi" w:hAnsiTheme="minorHAnsi"/>
                <w:sz w:val="20"/>
                <w:szCs w:val="20"/>
              </w:rPr>
            </w:pPr>
            <w:r w:rsidRPr="003249D9">
              <w:rPr>
                <w:rFonts w:asciiTheme="minorHAnsi" w:eastAsiaTheme="minorEastAsia" w:hAnsiTheme="minorHAnsi"/>
                <w:kern w:val="24"/>
                <w:sz w:val="20"/>
              </w:rPr>
              <w:t xml:space="preserve">Ismertesse azokat a főbb pénzügyi, jogi és adóügyi problémákat, amelyek akadályozták a </w:t>
            </w:r>
            <w:proofErr w:type="spellStart"/>
            <w:r w:rsidRPr="003249D9">
              <w:rPr>
                <w:rFonts w:asciiTheme="minorHAnsi" w:eastAsiaTheme="minorEastAsia" w:hAnsiTheme="minorHAnsi"/>
                <w:kern w:val="24"/>
                <w:sz w:val="20"/>
              </w:rPr>
              <w:t>nemteljesítő</w:t>
            </w:r>
            <w:proofErr w:type="spellEnd"/>
            <w:r w:rsidRPr="003249D9">
              <w:rPr>
                <w:rFonts w:asciiTheme="minorHAnsi" w:eastAsiaTheme="minorEastAsia" w:hAnsiTheme="minorHAnsi"/>
                <w:kern w:val="24"/>
                <w:sz w:val="20"/>
              </w:rPr>
              <w:t xml:space="preserve"> hitelek állományának (akár biztosítéki/végrehajtási, </w:t>
            </w:r>
            <w:proofErr w:type="spellStart"/>
            <w:r w:rsidRPr="003249D9">
              <w:rPr>
                <w:rFonts w:asciiTheme="minorHAnsi" w:eastAsiaTheme="minorEastAsia" w:hAnsiTheme="minorHAnsi"/>
                <w:kern w:val="24"/>
                <w:sz w:val="20"/>
              </w:rPr>
              <w:t>restrukturálási</w:t>
            </w:r>
            <w:proofErr w:type="spellEnd"/>
            <w:r w:rsidRPr="003249D9">
              <w:rPr>
                <w:rFonts w:asciiTheme="minorHAnsi" w:eastAsiaTheme="minorEastAsia" w:hAnsiTheme="minorHAnsi"/>
                <w:kern w:val="24"/>
                <w:sz w:val="20"/>
              </w:rPr>
              <w:t xml:space="preserve">, csőd- vagy felszámolási eljárás útján történő ) hatékony csökkentését és/vagy </w:t>
            </w:r>
            <w:proofErr w:type="gramStart"/>
            <w:r w:rsidRPr="003249D9">
              <w:rPr>
                <w:rFonts w:asciiTheme="minorHAnsi" w:eastAsiaTheme="minorEastAsia" w:hAnsiTheme="minorHAnsi"/>
                <w:kern w:val="24"/>
                <w:sz w:val="20"/>
              </w:rPr>
              <w:t>értékesítését</w:t>
            </w:r>
            <w:proofErr w:type="gramEnd"/>
            <w:r w:rsidRPr="003249D9">
              <w:rPr>
                <w:rFonts w:asciiTheme="minorHAnsi" w:eastAsiaTheme="minorEastAsia" w:hAnsiTheme="minorHAnsi"/>
                <w:kern w:val="24"/>
                <w:sz w:val="20"/>
              </w:rPr>
              <w:t xml:space="preserve"> vagy átruházását.</w:t>
            </w:r>
          </w:p>
          <w:p w:rsidR="00BF6ACB" w:rsidRPr="003249D9" w:rsidRDefault="00AB7CFF" w:rsidP="009A73FD">
            <w:pPr>
              <w:pStyle w:val="ListParagraph"/>
              <w:numPr>
                <w:ilvl w:val="0"/>
                <w:numId w:val="50"/>
              </w:numPr>
              <w:tabs>
                <w:tab w:val="clear" w:pos="720"/>
              </w:tabs>
              <w:ind w:left="357" w:hanging="357"/>
              <w:rPr>
                <w:rFonts w:asciiTheme="minorHAnsi" w:hAnsiTheme="minorHAnsi"/>
                <w:sz w:val="20"/>
                <w:szCs w:val="20"/>
              </w:rPr>
            </w:pPr>
            <w:r w:rsidRPr="003249D9">
              <w:rPr>
                <w:rFonts w:asciiTheme="minorHAnsi" w:eastAsiaTheme="minorEastAsia" w:hAnsiTheme="minorHAnsi"/>
                <w:kern w:val="24"/>
                <w:sz w:val="20"/>
              </w:rPr>
              <w:t>Sikerült megoldani ezeket a problémákat? Hogyan sikerült megoldani?</w:t>
            </w:r>
          </w:p>
          <w:p w:rsidR="00BF6ACB" w:rsidRPr="003249D9" w:rsidRDefault="00AB7CFF" w:rsidP="009A73FD">
            <w:pPr>
              <w:pStyle w:val="ListParagraph"/>
              <w:numPr>
                <w:ilvl w:val="0"/>
                <w:numId w:val="50"/>
              </w:numPr>
              <w:tabs>
                <w:tab w:val="clear" w:pos="720"/>
              </w:tabs>
              <w:ind w:left="357" w:hanging="357"/>
              <w:rPr>
                <w:rFonts w:asciiTheme="minorHAnsi" w:hAnsiTheme="minorHAnsi"/>
                <w:sz w:val="20"/>
                <w:szCs w:val="20"/>
              </w:rPr>
            </w:pPr>
            <w:r w:rsidRPr="003249D9">
              <w:rPr>
                <w:rFonts w:asciiTheme="minorHAnsi" w:eastAsiaTheme="minorEastAsia" w:hAnsiTheme="minorHAnsi"/>
                <w:kern w:val="24"/>
                <w:sz w:val="20"/>
              </w:rPr>
              <w:t xml:space="preserve">Véleménye szerint mely helyi tényezők akadályozzák a </w:t>
            </w:r>
            <w:proofErr w:type="spellStart"/>
            <w:r w:rsidRPr="003249D9">
              <w:rPr>
                <w:rFonts w:asciiTheme="minorHAnsi" w:eastAsiaTheme="minorEastAsia" w:hAnsiTheme="minorHAnsi"/>
                <w:kern w:val="24"/>
                <w:sz w:val="20"/>
              </w:rPr>
              <w:t>nemteljesítő</w:t>
            </w:r>
            <w:proofErr w:type="spellEnd"/>
            <w:r w:rsidRPr="003249D9">
              <w:rPr>
                <w:rFonts w:asciiTheme="minorHAnsi" w:eastAsiaTheme="minorEastAsia" w:hAnsiTheme="minorHAnsi"/>
                <w:kern w:val="24"/>
                <w:sz w:val="20"/>
              </w:rPr>
              <w:t xml:space="preserve"> hitelek állományának csökkentését?</w:t>
            </w:r>
          </w:p>
        </w:tc>
      </w:tr>
      <w:tr w:rsidR="00BF6ACB" w:rsidRPr="003249D9" w:rsidTr="00BF6ACB">
        <w:tc>
          <w:tcPr>
            <w:tcW w:w="3375" w:type="dxa"/>
          </w:tcPr>
          <w:p w:rsidR="00BF6ACB" w:rsidRPr="003249D9" w:rsidRDefault="00AB7CFF" w:rsidP="00BF6ACB">
            <w:pPr>
              <w:pStyle w:val="NormalWeb"/>
              <w:spacing w:before="0" w:beforeAutospacing="0" w:after="0" w:afterAutospacing="0"/>
              <w:rPr>
                <w:rFonts w:asciiTheme="minorHAnsi" w:hAnsiTheme="minorHAnsi"/>
                <w:b/>
                <w:sz w:val="20"/>
                <w:szCs w:val="20"/>
              </w:rPr>
            </w:pPr>
            <w:r w:rsidRPr="003249D9">
              <w:rPr>
                <w:rFonts w:asciiTheme="minorHAnsi" w:hAnsiTheme="minorHAnsi"/>
                <w:b/>
                <w:color w:val="000000" w:themeColor="text1"/>
                <w:kern w:val="24"/>
                <w:sz w:val="20"/>
              </w:rPr>
              <w:t>Az aktuális adókörnyezet és a legfontosabb számviteli vonatkozások (a Magyarországon releváns mértékben alkalmazott GAAP és IFRS szerinti elszámolás)</w:t>
            </w:r>
          </w:p>
        </w:tc>
        <w:tc>
          <w:tcPr>
            <w:tcW w:w="6795" w:type="dxa"/>
          </w:tcPr>
          <w:p w:rsidR="00BF6ACB" w:rsidRPr="003249D9" w:rsidRDefault="00AB7CFF" w:rsidP="009A73FD">
            <w:pPr>
              <w:pStyle w:val="ListParagraph"/>
              <w:numPr>
                <w:ilvl w:val="0"/>
                <w:numId w:val="51"/>
              </w:numPr>
              <w:tabs>
                <w:tab w:val="clear" w:pos="720"/>
              </w:tabs>
              <w:ind w:left="357" w:hanging="357"/>
              <w:rPr>
                <w:rFonts w:asciiTheme="minorHAnsi" w:hAnsiTheme="minorHAnsi"/>
                <w:sz w:val="20"/>
                <w:szCs w:val="20"/>
              </w:rPr>
            </w:pPr>
            <w:r w:rsidRPr="003249D9">
              <w:rPr>
                <w:rFonts w:asciiTheme="minorHAnsi" w:eastAsiaTheme="minorEastAsia" w:hAnsiTheme="minorHAnsi"/>
                <w:kern w:val="24"/>
                <w:sz w:val="20"/>
              </w:rPr>
              <w:t xml:space="preserve">Ismertesse azokat a főbb számviteli és adóügyi változásokat, amelyek elősegíthetik a </w:t>
            </w:r>
            <w:proofErr w:type="spellStart"/>
            <w:r w:rsidRPr="003249D9">
              <w:rPr>
                <w:rFonts w:asciiTheme="minorHAnsi" w:eastAsiaTheme="minorEastAsia" w:hAnsiTheme="minorHAnsi"/>
                <w:kern w:val="24"/>
                <w:sz w:val="20"/>
              </w:rPr>
              <w:t>nemteljesítő</w:t>
            </w:r>
            <w:proofErr w:type="spellEnd"/>
            <w:r w:rsidRPr="003249D9">
              <w:rPr>
                <w:rFonts w:asciiTheme="minorHAnsi" w:eastAsiaTheme="minorEastAsia" w:hAnsiTheme="minorHAnsi"/>
                <w:kern w:val="24"/>
                <w:sz w:val="20"/>
              </w:rPr>
              <w:t xml:space="preserve"> hitelek állományának csökkenését és/vagy a </w:t>
            </w:r>
            <w:proofErr w:type="spellStart"/>
            <w:r w:rsidRPr="003249D9">
              <w:rPr>
                <w:rFonts w:asciiTheme="minorHAnsi" w:eastAsiaTheme="minorEastAsia" w:hAnsiTheme="minorHAnsi"/>
                <w:kern w:val="24"/>
                <w:sz w:val="20"/>
              </w:rPr>
              <w:t>nemteljesítő</w:t>
            </w:r>
            <w:proofErr w:type="spellEnd"/>
            <w:r w:rsidRPr="003249D9">
              <w:rPr>
                <w:rFonts w:asciiTheme="minorHAnsi" w:eastAsiaTheme="minorEastAsia" w:hAnsiTheme="minorHAnsi"/>
                <w:kern w:val="24"/>
                <w:sz w:val="20"/>
              </w:rPr>
              <w:t xml:space="preserve"> hitelek portfóliójának értékesítését és átruházását.</w:t>
            </w:r>
          </w:p>
          <w:p w:rsidR="00BF6ACB" w:rsidRPr="003249D9" w:rsidRDefault="00AB7CFF" w:rsidP="009A73FD">
            <w:pPr>
              <w:pStyle w:val="ListParagraph"/>
              <w:numPr>
                <w:ilvl w:val="0"/>
                <w:numId w:val="51"/>
              </w:numPr>
              <w:tabs>
                <w:tab w:val="clear" w:pos="720"/>
              </w:tabs>
              <w:ind w:left="357" w:hanging="357"/>
              <w:rPr>
                <w:rFonts w:asciiTheme="minorHAnsi" w:hAnsiTheme="minorHAnsi"/>
                <w:sz w:val="20"/>
                <w:szCs w:val="20"/>
              </w:rPr>
            </w:pPr>
            <w:r w:rsidRPr="003249D9">
              <w:rPr>
                <w:rFonts w:asciiTheme="minorHAnsi" w:eastAsiaTheme="minorEastAsia" w:hAnsiTheme="minorHAnsi"/>
                <w:kern w:val="24"/>
                <w:sz w:val="20"/>
              </w:rPr>
              <w:t>Soroljon fel olyan egyéb adóügyi megoldásokat, amelyek Ön szerint előse</w:t>
            </w:r>
            <w:r w:rsidR="00993BB4" w:rsidRPr="003249D9">
              <w:rPr>
                <w:rFonts w:asciiTheme="minorHAnsi" w:eastAsiaTheme="minorEastAsia" w:hAnsiTheme="minorHAnsi"/>
                <w:kern w:val="24"/>
                <w:sz w:val="20"/>
              </w:rPr>
              <w:t xml:space="preserve">gítenék a </w:t>
            </w:r>
            <w:proofErr w:type="spellStart"/>
            <w:r w:rsidR="00993BB4" w:rsidRPr="003249D9">
              <w:rPr>
                <w:rFonts w:asciiTheme="minorHAnsi" w:eastAsiaTheme="minorEastAsia" w:hAnsiTheme="minorHAnsi"/>
                <w:kern w:val="24"/>
                <w:sz w:val="20"/>
              </w:rPr>
              <w:t>nemteljesítő</w:t>
            </w:r>
            <w:proofErr w:type="spellEnd"/>
            <w:r w:rsidR="00993BB4" w:rsidRPr="003249D9">
              <w:rPr>
                <w:rFonts w:asciiTheme="minorHAnsi" w:eastAsiaTheme="minorEastAsia" w:hAnsiTheme="minorHAnsi"/>
                <w:kern w:val="24"/>
                <w:sz w:val="20"/>
              </w:rPr>
              <w:t xml:space="preserve"> hitelek </w:t>
            </w:r>
            <w:r w:rsidRPr="003249D9">
              <w:rPr>
                <w:rFonts w:asciiTheme="minorHAnsi" w:eastAsiaTheme="minorEastAsia" w:hAnsiTheme="minorHAnsi"/>
                <w:kern w:val="24"/>
                <w:sz w:val="20"/>
              </w:rPr>
              <w:t>állományának csökkenését és/vagy az ilyen hitelek értékesítését és átruházását.</w:t>
            </w:r>
          </w:p>
        </w:tc>
      </w:tr>
      <w:tr w:rsidR="00BF6ACB" w:rsidRPr="003249D9" w:rsidTr="00BF6ACB">
        <w:tc>
          <w:tcPr>
            <w:tcW w:w="3375" w:type="dxa"/>
          </w:tcPr>
          <w:p w:rsidR="00BF6ACB" w:rsidRPr="003249D9" w:rsidRDefault="00AB7CFF" w:rsidP="00BF6ACB">
            <w:pPr>
              <w:pStyle w:val="NormalWeb"/>
              <w:spacing w:before="0" w:beforeAutospacing="0" w:after="0" w:afterAutospacing="0"/>
              <w:rPr>
                <w:rFonts w:asciiTheme="minorHAnsi" w:hAnsiTheme="minorHAnsi"/>
                <w:b/>
                <w:sz w:val="20"/>
                <w:szCs w:val="20"/>
              </w:rPr>
            </w:pPr>
            <w:r w:rsidRPr="003249D9">
              <w:rPr>
                <w:rFonts w:asciiTheme="minorHAnsi" w:hAnsiTheme="minorHAnsi"/>
                <w:b/>
                <w:color w:val="000000" w:themeColor="text1"/>
                <w:kern w:val="24"/>
                <w:sz w:val="20"/>
              </w:rPr>
              <w:t xml:space="preserve">Jogi kérdések </w:t>
            </w:r>
          </w:p>
        </w:tc>
        <w:tc>
          <w:tcPr>
            <w:tcW w:w="6795" w:type="dxa"/>
          </w:tcPr>
          <w:p w:rsidR="00BF6ACB" w:rsidRPr="003249D9" w:rsidRDefault="00AB7CFF" w:rsidP="009A73FD">
            <w:pPr>
              <w:pStyle w:val="ListParagraph"/>
              <w:numPr>
                <w:ilvl w:val="0"/>
                <w:numId w:val="52"/>
              </w:numPr>
              <w:tabs>
                <w:tab w:val="clear" w:pos="720"/>
              </w:tabs>
              <w:ind w:left="357" w:hanging="357"/>
              <w:rPr>
                <w:rFonts w:asciiTheme="minorHAnsi" w:hAnsiTheme="minorHAnsi"/>
                <w:sz w:val="20"/>
                <w:szCs w:val="20"/>
              </w:rPr>
            </w:pPr>
            <w:r w:rsidRPr="003249D9">
              <w:rPr>
                <w:rFonts w:asciiTheme="minorHAnsi" w:eastAsiaTheme="minorEastAsia" w:hAnsiTheme="minorHAnsi"/>
                <w:kern w:val="24"/>
                <w:sz w:val="20"/>
              </w:rPr>
              <w:t xml:space="preserve">Az Önök bankja évente hány (bíróságon kívüli) csődmegelőző, (szerződéses megállapodások alapján végrehajtott) </w:t>
            </w:r>
            <w:proofErr w:type="spellStart"/>
            <w:r w:rsidRPr="003249D9">
              <w:rPr>
                <w:rFonts w:asciiTheme="minorHAnsi" w:eastAsiaTheme="minorEastAsia" w:hAnsiTheme="minorHAnsi"/>
                <w:kern w:val="24"/>
                <w:sz w:val="20"/>
              </w:rPr>
              <w:t>restrukturálási</w:t>
            </w:r>
            <w:proofErr w:type="spellEnd"/>
            <w:r w:rsidRPr="003249D9">
              <w:rPr>
                <w:rFonts w:asciiTheme="minorHAnsi" w:eastAsiaTheme="minorEastAsia" w:hAnsiTheme="minorHAnsi"/>
                <w:kern w:val="24"/>
                <w:sz w:val="20"/>
              </w:rPr>
              <w:t xml:space="preserve"> eljárásban vesz részt? Sorolja fel a 3 legnagyobb kihívást jelentő problémát az ilyen bíróságon kívüli megállapodásokkal kapcsolatban (ideértve bármilyen biztosítéki/garancia ügyet, köztes hitelezői és/vagy végrehajtási problémát).</w:t>
            </w:r>
          </w:p>
          <w:p w:rsidR="00BF6ACB" w:rsidRPr="003249D9" w:rsidRDefault="00AB7CFF" w:rsidP="009A73FD">
            <w:pPr>
              <w:pStyle w:val="ListParagraph"/>
              <w:numPr>
                <w:ilvl w:val="0"/>
                <w:numId w:val="52"/>
              </w:numPr>
              <w:tabs>
                <w:tab w:val="clear" w:pos="720"/>
              </w:tabs>
              <w:ind w:left="357" w:hanging="357"/>
              <w:rPr>
                <w:rFonts w:asciiTheme="minorHAnsi" w:hAnsiTheme="minorHAnsi"/>
                <w:sz w:val="20"/>
                <w:szCs w:val="20"/>
              </w:rPr>
            </w:pPr>
            <w:r w:rsidRPr="003249D9">
              <w:rPr>
                <w:rFonts w:asciiTheme="minorHAnsi" w:eastAsiaTheme="minorEastAsia" w:hAnsiTheme="minorHAnsi"/>
                <w:kern w:val="24"/>
                <w:sz w:val="20"/>
              </w:rPr>
              <w:t xml:space="preserve">Az Ön véleménye szerint magyarországi viszonylatban előnyös lenne bármilyen formális, csődmegelőző </w:t>
            </w:r>
            <w:proofErr w:type="spellStart"/>
            <w:r w:rsidRPr="003249D9">
              <w:rPr>
                <w:rFonts w:asciiTheme="minorHAnsi" w:eastAsiaTheme="minorEastAsia" w:hAnsiTheme="minorHAnsi"/>
                <w:kern w:val="24"/>
                <w:sz w:val="20"/>
              </w:rPr>
              <w:t>restrukturálási</w:t>
            </w:r>
            <w:proofErr w:type="spellEnd"/>
            <w:r w:rsidRPr="003249D9">
              <w:rPr>
                <w:rFonts w:asciiTheme="minorHAnsi" w:eastAsiaTheme="minorEastAsia" w:hAnsiTheme="minorHAnsi"/>
                <w:kern w:val="24"/>
                <w:sz w:val="20"/>
              </w:rPr>
              <w:t xml:space="preserve"> eljárás?</w:t>
            </w:r>
          </w:p>
          <w:p w:rsidR="00BF6ACB" w:rsidRPr="003249D9" w:rsidRDefault="00AB7CFF" w:rsidP="009A73FD">
            <w:pPr>
              <w:pStyle w:val="ListParagraph"/>
              <w:numPr>
                <w:ilvl w:val="0"/>
                <w:numId w:val="52"/>
              </w:numPr>
              <w:tabs>
                <w:tab w:val="clear" w:pos="720"/>
              </w:tabs>
              <w:ind w:left="357" w:hanging="357"/>
              <w:rPr>
                <w:rFonts w:asciiTheme="minorHAnsi" w:hAnsiTheme="minorHAnsi"/>
                <w:sz w:val="20"/>
                <w:szCs w:val="20"/>
              </w:rPr>
            </w:pPr>
            <w:r w:rsidRPr="003249D9">
              <w:rPr>
                <w:rFonts w:asciiTheme="minorHAnsi" w:eastAsiaTheme="minorEastAsia" w:hAnsiTheme="minorHAnsi"/>
                <w:kern w:val="24"/>
                <w:sz w:val="20"/>
              </w:rPr>
              <w:t>Az Önök bankja évente hány csőd- és felszámolási eljárásban volt érintett hitelezői minőségben? Az Ön véleménye szerint az említett eljárásokban a hitelezők hogyan tudnának jobb eredményt vagy kedvezőbb követelés-behajtási arányt elérni. Mi tenné lehetővé az említett eredmények elérhetőségét? A rövidebb időkeretek? A kisebb vagy nagyobb bírói kontroll? Az értékesítési folyamatok vagy a csődeljárási terv kidolgozási folyamatának átalakítása?</w:t>
            </w:r>
          </w:p>
          <w:p w:rsidR="00BF6ACB" w:rsidRPr="003249D9" w:rsidRDefault="00AB7CFF" w:rsidP="009A73FD">
            <w:pPr>
              <w:pStyle w:val="ListParagraph"/>
              <w:numPr>
                <w:ilvl w:val="0"/>
                <w:numId w:val="52"/>
              </w:numPr>
              <w:tabs>
                <w:tab w:val="clear" w:pos="720"/>
              </w:tabs>
              <w:ind w:left="357" w:hanging="357"/>
              <w:rPr>
                <w:rFonts w:asciiTheme="minorHAnsi" w:hAnsiTheme="minorHAnsi"/>
                <w:sz w:val="20"/>
                <w:szCs w:val="20"/>
              </w:rPr>
            </w:pPr>
            <w:r w:rsidRPr="003249D9">
              <w:rPr>
                <w:rFonts w:asciiTheme="minorHAnsi" w:eastAsiaTheme="minorEastAsia" w:hAnsiTheme="minorHAnsi"/>
                <w:kern w:val="24"/>
                <w:sz w:val="20"/>
              </w:rPr>
              <w:t>Jelöljön meg legalább 3 olyan főbb területet, ahol a csőd- és felszámolási eljárásban, valamint a hitelezési és biztosítéki végrehajtásban szélesebb jogkört kellene biztosítani a hitelezőknek.</w:t>
            </w:r>
          </w:p>
          <w:p w:rsidR="00BF6ACB" w:rsidRPr="003249D9" w:rsidRDefault="00AB7CFF" w:rsidP="009A73FD">
            <w:pPr>
              <w:pStyle w:val="ListParagraph"/>
              <w:numPr>
                <w:ilvl w:val="0"/>
                <w:numId w:val="52"/>
              </w:numPr>
              <w:tabs>
                <w:tab w:val="clear" w:pos="720"/>
              </w:tabs>
              <w:ind w:left="357" w:hanging="357"/>
              <w:rPr>
                <w:rFonts w:asciiTheme="minorHAnsi" w:hAnsiTheme="minorHAnsi"/>
                <w:sz w:val="20"/>
                <w:szCs w:val="20"/>
              </w:rPr>
            </w:pPr>
            <w:r w:rsidRPr="003249D9">
              <w:rPr>
                <w:rFonts w:asciiTheme="minorHAnsi" w:eastAsiaTheme="minorEastAsia" w:hAnsiTheme="minorHAnsi"/>
                <w:kern w:val="24"/>
                <w:sz w:val="20"/>
              </w:rPr>
              <w:t>Soroljon fel 3 olyan intézkedést, amelyek segítségével javítható lenne a felszámolók és vagyonfelügyelők, valamint a bírósági végrehajtók teljesítménye és/vagy elszámoltathatósága. Tegyen javaslatot továbbá a felszámolók és vagyonfelügyelők kijelölési rendszerének javítási módjaira.</w:t>
            </w:r>
          </w:p>
          <w:p w:rsidR="00BF6ACB" w:rsidRPr="003249D9" w:rsidRDefault="00AB7CFF" w:rsidP="009A73FD">
            <w:pPr>
              <w:pStyle w:val="ListParagraph"/>
              <w:numPr>
                <w:ilvl w:val="0"/>
                <w:numId w:val="52"/>
              </w:numPr>
              <w:tabs>
                <w:tab w:val="clear" w:pos="720"/>
              </w:tabs>
              <w:ind w:left="357" w:hanging="357"/>
              <w:rPr>
                <w:rFonts w:asciiTheme="minorHAnsi" w:hAnsiTheme="minorHAnsi"/>
                <w:sz w:val="20"/>
                <w:szCs w:val="20"/>
              </w:rPr>
            </w:pPr>
            <w:r w:rsidRPr="003249D9">
              <w:rPr>
                <w:rFonts w:asciiTheme="minorHAnsi" w:eastAsiaTheme="minorEastAsia" w:hAnsiTheme="minorHAnsi"/>
                <w:kern w:val="24"/>
                <w:sz w:val="20"/>
              </w:rPr>
              <w:t>Ön szerint melyik az a 3 fő gyakorlati ok, amelyek késleltetik a felszámolási eljárásokat? Ön szerint hogyan lehetne csökkenteni a késedelmet?</w:t>
            </w:r>
          </w:p>
          <w:p w:rsidR="00BF6ACB" w:rsidRPr="003249D9" w:rsidRDefault="00AB7CFF" w:rsidP="009A73FD">
            <w:pPr>
              <w:pStyle w:val="ListParagraph"/>
              <w:numPr>
                <w:ilvl w:val="0"/>
                <w:numId w:val="52"/>
              </w:numPr>
              <w:tabs>
                <w:tab w:val="clear" w:pos="720"/>
              </w:tabs>
              <w:ind w:left="357" w:hanging="357"/>
              <w:rPr>
                <w:rFonts w:asciiTheme="minorHAnsi" w:hAnsiTheme="minorHAnsi"/>
                <w:sz w:val="20"/>
                <w:szCs w:val="20"/>
              </w:rPr>
            </w:pPr>
            <w:r w:rsidRPr="003249D9">
              <w:rPr>
                <w:rFonts w:asciiTheme="minorHAnsi" w:eastAsiaTheme="minorEastAsia" w:hAnsiTheme="minorHAnsi"/>
                <w:kern w:val="24"/>
                <w:sz w:val="20"/>
              </w:rPr>
              <w:t>Soroljon fel a magyar jogszabályokban szereplő néhány olyan rendelkezést/elvet, amelyek az Ön véleménye szerint a legvalószínűbb mértékben problémákat okoznak: (i) a biztosítéki szerződések bank általi végrehajtásában; és (</w:t>
            </w:r>
            <w:proofErr w:type="spellStart"/>
            <w:r w:rsidRPr="003249D9">
              <w:rPr>
                <w:rFonts w:asciiTheme="minorHAnsi" w:eastAsiaTheme="minorEastAsia" w:hAnsiTheme="minorHAnsi"/>
                <w:kern w:val="24"/>
                <w:sz w:val="20"/>
              </w:rPr>
              <w:t>ii</w:t>
            </w:r>
            <w:proofErr w:type="spellEnd"/>
            <w:r w:rsidRPr="003249D9">
              <w:rPr>
                <w:rFonts w:asciiTheme="minorHAnsi" w:eastAsiaTheme="minorEastAsia" w:hAnsiTheme="minorHAnsi"/>
                <w:kern w:val="24"/>
                <w:sz w:val="20"/>
              </w:rPr>
              <w:t>) a banki követelések csőd- és felszámolási eljárásban való érvényesítésében.</w:t>
            </w:r>
          </w:p>
        </w:tc>
      </w:tr>
    </w:tbl>
    <w:p w:rsidR="00BF6ACB" w:rsidRPr="003249D9" w:rsidRDefault="00BF6ACB">
      <w:pPr>
        <w:pStyle w:val="TASBodytext"/>
        <w:rPr>
          <w:rFonts w:asciiTheme="minorHAnsi" w:hAnsiTheme="minorHAnsi"/>
        </w:rPr>
      </w:pPr>
    </w:p>
    <w:p w:rsidR="00BF6ACB" w:rsidRPr="003249D9" w:rsidRDefault="00BF6ACB">
      <w:pPr>
        <w:pStyle w:val="TASBodytext"/>
        <w:rPr>
          <w:rFonts w:asciiTheme="minorHAnsi" w:hAnsiTheme="minorHAnsi"/>
        </w:rPr>
      </w:pPr>
    </w:p>
    <w:p w:rsidR="00BF6ACB" w:rsidRPr="003249D9" w:rsidRDefault="00BF6ACB">
      <w:pPr>
        <w:pStyle w:val="TASBodytext"/>
        <w:rPr>
          <w:rFonts w:asciiTheme="minorHAnsi" w:hAnsiTheme="minorHAnsi"/>
        </w:rPr>
      </w:pPr>
    </w:p>
    <w:p w:rsidR="00BF6ACB" w:rsidRPr="003249D9" w:rsidRDefault="00BF6ACB">
      <w:pPr>
        <w:pStyle w:val="TASBodytext"/>
        <w:rPr>
          <w:rFonts w:asciiTheme="minorHAnsi" w:hAnsiTheme="minorHAnsi"/>
        </w:rPr>
        <w:sectPr w:rsidR="00BF6ACB" w:rsidRPr="003249D9">
          <w:headerReference w:type="default" r:id="rId90"/>
          <w:footerReference w:type="default" r:id="rId91"/>
          <w:pgSz w:w="11907" w:h="16839" w:code="9"/>
          <w:pgMar w:top="2304" w:right="792" w:bottom="1022" w:left="792" w:header="605" w:footer="706" w:gutter="0"/>
          <w:cols w:space="720"/>
          <w:docGrid w:linePitch="360"/>
        </w:sectPr>
      </w:pPr>
    </w:p>
    <w:p w:rsidR="00BF6ACB" w:rsidRPr="003249D9" w:rsidRDefault="00D53915">
      <w:pPr>
        <w:pStyle w:val="TASSubsection"/>
        <w:framePr w:wrap="around"/>
        <w:rPr>
          <w:rFonts w:asciiTheme="minorHAnsi" w:hAnsiTheme="minorHAnsi"/>
        </w:rPr>
      </w:pPr>
      <w:bookmarkStart w:id="39" w:name="_Toc401154932"/>
      <w:bookmarkStart w:id="40" w:name="_Toc403750035"/>
      <w:r>
        <w:rPr>
          <w:rFonts w:asciiTheme="minorHAnsi" w:hAnsiTheme="minorHAnsi"/>
        </w:rPr>
        <w:lastRenderedPageBreak/>
        <w:t xml:space="preserve">E </w:t>
      </w:r>
      <w:r w:rsidR="00AB7CFF" w:rsidRPr="003249D9">
        <w:rPr>
          <w:rFonts w:asciiTheme="minorHAnsi" w:hAnsiTheme="minorHAnsi"/>
        </w:rPr>
        <w:t>Melléklet</w:t>
      </w:r>
      <w:bookmarkEnd w:id="39"/>
      <w:bookmarkEnd w:id="40"/>
    </w:p>
    <w:p w:rsidR="00BF6ACB" w:rsidRPr="003249D9" w:rsidRDefault="00AB7CFF">
      <w:pPr>
        <w:pStyle w:val="TASStraplinefirst"/>
        <w:framePr w:wrap="notBeside"/>
        <w:rPr>
          <w:rFonts w:asciiTheme="minorHAnsi" w:hAnsiTheme="minorHAnsi"/>
        </w:rPr>
      </w:pPr>
      <w:r w:rsidRPr="003249D9">
        <w:rPr>
          <w:rFonts w:asciiTheme="minorHAnsi" w:hAnsiTheme="minorHAnsi"/>
        </w:rPr>
        <w:t>Rövidítések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E0" w:firstRow="1" w:lastRow="1" w:firstColumn="1" w:lastColumn="0" w:noHBand="0" w:noVBand="1"/>
      </w:tblPr>
      <w:tblGrid>
        <w:gridCol w:w="3541"/>
        <w:gridCol w:w="6998"/>
      </w:tblGrid>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IOH</w:t>
            </w:r>
          </w:p>
        </w:tc>
        <w:tc>
          <w:tcPr>
            <w:tcW w:w="6998" w:type="dxa"/>
          </w:tcPr>
          <w:p w:rsidR="00BF6ACB" w:rsidRPr="003249D9" w:rsidRDefault="00993BB4" w:rsidP="00BF6ACB">
            <w:pPr>
              <w:pStyle w:val="TASBodytext"/>
              <w:rPr>
                <w:rFonts w:asciiTheme="minorHAnsi" w:hAnsiTheme="minorHAnsi"/>
              </w:rPr>
            </w:pPr>
            <w:proofErr w:type="spellStart"/>
            <w:r w:rsidRPr="003249D9">
              <w:rPr>
                <w:rFonts w:asciiTheme="minorHAnsi" w:hAnsiTheme="minorHAnsi"/>
              </w:rPr>
              <w:t>Insolvency</w:t>
            </w:r>
            <w:proofErr w:type="spellEnd"/>
            <w:r w:rsidRPr="003249D9">
              <w:rPr>
                <w:rFonts w:asciiTheme="minorHAnsi" w:hAnsiTheme="minorHAnsi"/>
              </w:rPr>
              <w:t xml:space="preserve"> </w:t>
            </w:r>
            <w:proofErr w:type="spellStart"/>
            <w:r w:rsidRPr="003249D9">
              <w:rPr>
                <w:rFonts w:asciiTheme="minorHAnsi" w:hAnsiTheme="minorHAnsi"/>
              </w:rPr>
              <w:t>office</w:t>
            </w:r>
            <w:proofErr w:type="spellEnd"/>
            <w:r w:rsidRPr="003249D9">
              <w:rPr>
                <w:rFonts w:asciiTheme="minorHAnsi" w:hAnsiTheme="minorHAnsi"/>
              </w:rPr>
              <w:t xml:space="preserve"> </w:t>
            </w:r>
            <w:proofErr w:type="spellStart"/>
            <w:r w:rsidRPr="003249D9">
              <w:rPr>
                <w:rFonts w:asciiTheme="minorHAnsi" w:hAnsiTheme="minorHAnsi"/>
              </w:rPr>
              <w:t>holder</w:t>
            </w:r>
            <w:proofErr w:type="spellEnd"/>
            <w:r w:rsidRPr="003249D9">
              <w:rPr>
                <w:rFonts w:asciiTheme="minorHAnsi" w:hAnsiTheme="minorHAnsi"/>
              </w:rPr>
              <w:t xml:space="preserve"> (F</w:t>
            </w:r>
            <w:r w:rsidR="00AB7CFF" w:rsidRPr="003249D9">
              <w:rPr>
                <w:rFonts w:asciiTheme="minorHAnsi" w:hAnsiTheme="minorHAnsi"/>
              </w:rPr>
              <w:t>elszámolók és vagyonfelügyelők)</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R&amp;D</w:t>
            </w:r>
          </w:p>
        </w:tc>
        <w:tc>
          <w:tcPr>
            <w:tcW w:w="6998" w:type="dxa"/>
          </w:tcPr>
          <w:p w:rsidR="00BF6ACB" w:rsidRPr="003249D9" w:rsidRDefault="00993BB4" w:rsidP="00BF6ACB">
            <w:pPr>
              <w:pStyle w:val="TASBodytext"/>
              <w:rPr>
                <w:rFonts w:asciiTheme="minorHAnsi" w:hAnsiTheme="minorHAnsi"/>
              </w:rPr>
            </w:pPr>
            <w:r w:rsidRPr="003249D9">
              <w:rPr>
                <w:rFonts w:asciiTheme="minorHAnsi" w:hAnsiTheme="minorHAnsi"/>
              </w:rPr>
              <w:t xml:space="preserve">Research and </w:t>
            </w:r>
            <w:proofErr w:type="spellStart"/>
            <w:r w:rsidRPr="003249D9">
              <w:rPr>
                <w:rFonts w:asciiTheme="minorHAnsi" w:hAnsiTheme="minorHAnsi"/>
              </w:rPr>
              <w:t>development</w:t>
            </w:r>
            <w:proofErr w:type="spellEnd"/>
            <w:r w:rsidRPr="003249D9">
              <w:rPr>
                <w:rFonts w:asciiTheme="minorHAnsi" w:hAnsiTheme="minorHAnsi"/>
              </w:rPr>
              <w:t xml:space="preserve"> (K</w:t>
            </w:r>
            <w:r w:rsidR="00AB7CFF" w:rsidRPr="003249D9">
              <w:rPr>
                <w:rFonts w:asciiTheme="minorHAnsi" w:hAnsiTheme="minorHAnsi"/>
              </w:rPr>
              <w:t>utatás-fejlesztés)</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FTT</w:t>
            </w:r>
          </w:p>
        </w:tc>
        <w:tc>
          <w:tcPr>
            <w:tcW w:w="6998" w:type="dxa"/>
          </w:tcPr>
          <w:p w:rsidR="00BF6ACB" w:rsidRPr="003249D9" w:rsidRDefault="00AB7CFF" w:rsidP="00BF6ACB">
            <w:pPr>
              <w:pStyle w:val="TASBodytext"/>
              <w:rPr>
                <w:rFonts w:asciiTheme="minorHAnsi" w:hAnsiTheme="minorHAnsi"/>
              </w:rPr>
            </w:pPr>
            <w:r w:rsidRPr="003249D9">
              <w:rPr>
                <w:rFonts w:asciiTheme="minorHAnsi" w:hAnsiTheme="minorHAnsi"/>
              </w:rPr>
              <w:t xml:space="preserve">Financial </w:t>
            </w:r>
            <w:proofErr w:type="spellStart"/>
            <w:r w:rsidRPr="003249D9">
              <w:rPr>
                <w:rFonts w:asciiTheme="minorHAnsi" w:hAnsiTheme="minorHAnsi"/>
              </w:rPr>
              <w:t>transaction</w:t>
            </w:r>
            <w:proofErr w:type="spellEnd"/>
            <w:r w:rsidRPr="003249D9">
              <w:rPr>
                <w:rFonts w:asciiTheme="minorHAnsi" w:hAnsiTheme="minorHAnsi"/>
              </w:rPr>
              <w:t xml:space="preserve"> tax (Pénzügyi tranzakciós adó)</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VAT</w:t>
            </w:r>
          </w:p>
        </w:tc>
        <w:tc>
          <w:tcPr>
            <w:tcW w:w="6998" w:type="dxa"/>
          </w:tcPr>
          <w:p w:rsidR="00BF6ACB" w:rsidRPr="003249D9" w:rsidRDefault="00993BB4" w:rsidP="00BF6ACB">
            <w:pPr>
              <w:pStyle w:val="TASBodytext"/>
              <w:rPr>
                <w:rFonts w:asciiTheme="minorHAnsi" w:hAnsiTheme="minorHAnsi"/>
              </w:rPr>
            </w:pPr>
            <w:proofErr w:type="spellStart"/>
            <w:r w:rsidRPr="003249D9">
              <w:rPr>
                <w:rFonts w:asciiTheme="minorHAnsi" w:hAnsiTheme="minorHAnsi"/>
              </w:rPr>
              <w:t>Value</w:t>
            </w:r>
            <w:proofErr w:type="spellEnd"/>
            <w:r w:rsidRPr="003249D9">
              <w:rPr>
                <w:rFonts w:asciiTheme="minorHAnsi" w:hAnsiTheme="minorHAnsi"/>
              </w:rPr>
              <w:t xml:space="preserve"> </w:t>
            </w:r>
            <w:proofErr w:type="spellStart"/>
            <w:r w:rsidRPr="003249D9">
              <w:rPr>
                <w:rFonts w:asciiTheme="minorHAnsi" w:hAnsiTheme="minorHAnsi"/>
              </w:rPr>
              <w:t>added</w:t>
            </w:r>
            <w:proofErr w:type="spellEnd"/>
            <w:r w:rsidRPr="003249D9">
              <w:rPr>
                <w:rFonts w:asciiTheme="minorHAnsi" w:hAnsiTheme="minorHAnsi"/>
              </w:rPr>
              <w:t xml:space="preserve"> tax (Á</w:t>
            </w:r>
            <w:r w:rsidR="00AB7CFF" w:rsidRPr="003249D9">
              <w:rPr>
                <w:rFonts w:asciiTheme="minorHAnsi" w:hAnsiTheme="minorHAnsi"/>
              </w:rPr>
              <w:t>ltalános forgalmi adó)</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NPL</w:t>
            </w:r>
          </w:p>
        </w:tc>
        <w:tc>
          <w:tcPr>
            <w:tcW w:w="6998" w:type="dxa"/>
          </w:tcPr>
          <w:p w:rsidR="00BF6ACB" w:rsidRPr="003249D9" w:rsidRDefault="00993BB4" w:rsidP="00BF6ACB">
            <w:pPr>
              <w:pStyle w:val="TASBodytext"/>
              <w:rPr>
                <w:rFonts w:asciiTheme="minorHAnsi" w:hAnsiTheme="minorHAnsi"/>
              </w:rPr>
            </w:pPr>
            <w:proofErr w:type="spellStart"/>
            <w:r w:rsidRPr="003249D9">
              <w:rPr>
                <w:rFonts w:asciiTheme="minorHAnsi" w:hAnsiTheme="minorHAnsi"/>
              </w:rPr>
              <w:t>Non-performing</w:t>
            </w:r>
            <w:proofErr w:type="spellEnd"/>
            <w:r w:rsidRPr="003249D9">
              <w:rPr>
                <w:rFonts w:asciiTheme="minorHAnsi" w:hAnsiTheme="minorHAnsi"/>
              </w:rPr>
              <w:t xml:space="preserve"> </w:t>
            </w:r>
            <w:proofErr w:type="spellStart"/>
            <w:r w:rsidRPr="003249D9">
              <w:rPr>
                <w:rFonts w:asciiTheme="minorHAnsi" w:hAnsiTheme="minorHAnsi"/>
              </w:rPr>
              <w:t>loan</w:t>
            </w:r>
            <w:proofErr w:type="spellEnd"/>
            <w:r w:rsidRPr="003249D9">
              <w:rPr>
                <w:rFonts w:asciiTheme="minorHAnsi" w:hAnsiTheme="minorHAnsi"/>
              </w:rPr>
              <w:t xml:space="preserve"> (</w:t>
            </w:r>
            <w:proofErr w:type="spellStart"/>
            <w:r w:rsidRPr="003249D9">
              <w:rPr>
                <w:rFonts w:asciiTheme="minorHAnsi" w:hAnsiTheme="minorHAnsi"/>
              </w:rPr>
              <w:t>N</w:t>
            </w:r>
            <w:r w:rsidR="00AB7CFF" w:rsidRPr="003249D9">
              <w:rPr>
                <w:rFonts w:asciiTheme="minorHAnsi" w:hAnsiTheme="minorHAnsi"/>
              </w:rPr>
              <w:t>emteljesítő</w:t>
            </w:r>
            <w:proofErr w:type="spellEnd"/>
            <w:r w:rsidR="00AB7CFF" w:rsidRPr="003249D9">
              <w:rPr>
                <w:rFonts w:asciiTheme="minorHAnsi" w:hAnsiTheme="minorHAnsi"/>
              </w:rPr>
              <w:t xml:space="preserve"> hitelek)</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FX</w:t>
            </w:r>
          </w:p>
        </w:tc>
        <w:tc>
          <w:tcPr>
            <w:tcW w:w="6998" w:type="dxa"/>
          </w:tcPr>
          <w:p w:rsidR="00BF6ACB" w:rsidRPr="003249D9" w:rsidRDefault="00AB7CFF" w:rsidP="00BF6ACB">
            <w:pPr>
              <w:pStyle w:val="TASBodytext"/>
              <w:rPr>
                <w:rFonts w:asciiTheme="minorHAnsi" w:hAnsiTheme="minorHAnsi"/>
              </w:rPr>
            </w:pPr>
            <w:proofErr w:type="spellStart"/>
            <w:r w:rsidRPr="003249D9">
              <w:rPr>
                <w:rFonts w:asciiTheme="minorHAnsi" w:hAnsiTheme="minorHAnsi"/>
              </w:rPr>
              <w:t>Foreign</w:t>
            </w:r>
            <w:proofErr w:type="spellEnd"/>
            <w:r w:rsidRPr="003249D9">
              <w:rPr>
                <w:rFonts w:asciiTheme="minorHAnsi" w:hAnsiTheme="minorHAnsi"/>
              </w:rPr>
              <w:t xml:space="preserve"> </w:t>
            </w:r>
            <w:proofErr w:type="spellStart"/>
            <w:r w:rsidRPr="003249D9">
              <w:rPr>
                <w:rFonts w:asciiTheme="minorHAnsi" w:hAnsiTheme="minorHAnsi"/>
              </w:rPr>
              <w:t>exchange</w:t>
            </w:r>
            <w:proofErr w:type="spellEnd"/>
            <w:r w:rsidRPr="003249D9">
              <w:rPr>
                <w:rFonts w:asciiTheme="minorHAnsi" w:hAnsiTheme="minorHAnsi"/>
              </w:rPr>
              <w:t xml:space="preserve"> (Deviza)</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ROE</w:t>
            </w:r>
          </w:p>
        </w:tc>
        <w:tc>
          <w:tcPr>
            <w:tcW w:w="6998" w:type="dxa"/>
          </w:tcPr>
          <w:p w:rsidR="00BF6ACB" w:rsidRPr="003249D9" w:rsidRDefault="00993BB4" w:rsidP="00BF6ACB">
            <w:pPr>
              <w:pStyle w:val="TASBodytext"/>
              <w:rPr>
                <w:rFonts w:asciiTheme="minorHAnsi" w:hAnsiTheme="minorHAnsi"/>
              </w:rPr>
            </w:pPr>
            <w:proofErr w:type="spellStart"/>
            <w:r w:rsidRPr="003249D9">
              <w:rPr>
                <w:rFonts w:asciiTheme="minorHAnsi" w:hAnsiTheme="minorHAnsi"/>
              </w:rPr>
              <w:t>Return</w:t>
            </w:r>
            <w:proofErr w:type="spellEnd"/>
            <w:r w:rsidRPr="003249D9">
              <w:rPr>
                <w:rFonts w:asciiTheme="minorHAnsi" w:hAnsiTheme="minorHAnsi"/>
              </w:rPr>
              <w:t xml:space="preserve"> </w:t>
            </w:r>
            <w:proofErr w:type="spellStart"/>
            <w:r w:rsidRPr="003249D9">
              <w:rPr>
                <w:rFonts w:asciiTheme="minorHAnsi" w:hAnsiTheme="minorHAnsi"/>
              </w:rPr>
              <w:t>on</w:t>
            </w:r>
            <w:proofErr w:type="spellEnd"/>
            <w:r w:rsidRPr="003249D9">
              <w:rPr>
                <w:rFonts w:asciiTheme="minorHAnsi" w:hAnsiTheme="minorHAnsi"/>
              </w:rPr>
              <w:t xml:space="preserve"> </w:t>
            </w:r>
            <w:proofErr w:type="spellStart"/>
            <w:r w:rsidRPr="003249D9">
              <w:rPr>
                <w:rFonts w:asciiTheme="minorHAnsi" w:hAnsiTheme="minorHAnsi"/>
              </w:rPr>
              <w:t>equity</w:t>
            </w:r>
            <w:proofErr w:type="spellEnd"/>
            <w:r w:rsidRPr="003249D9">
              <w:rPr>
                <w:rFonts w:asciiTheme="minorHAnsi" w:hAnsiTheme="minorHAnsi"/>
              </w:rPr>
              <w:t xml:space="preserve"> (</w:t>
            </w:r>
            <w:proofErr w:type="spellStart"/>
            <w:r w:rsidRPr="003249D9">
              <w:rPr>
                <w:rFonts w:asciiTheme="minorHAnsi" w:hAnsiTheme="minorHAnsi"/>
              </w:rPr>
              <w:t>S</w:t>
            </w:r>
            <w:r w:rsidR="00AB7CFF" w:rsidRPr="003249D9">
              <w:rPr>
                <w:rFonts w:asciiTheme="minorHAnsi" w:hAnsiTheme="minorHAnsi"/>
              </w:rPr>
              <w:t>ajáttőkehozam</w:t>
            </w:r>
            <w:proofErr w:type="spellEnd"/>
            <w:r w:rsidR="00AB7CFF" w:rsidRPr="003249D9">
              <w:rPr>
                <w:rFonts w:asciiTheme="minorHAnsi" w:hAnsiTheme="minorHAnsi"/>
              </w:rPr>
              <w:t>)</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ROA</w:t>
            </w:r>
          </w:p>
        </w:tc>
        <w:tc>
          <w:tcPr>
            <w:tcW w:w="6998" w:type="dxa"/>
          </w:tcPr>
          <w:p w:rsidR="00BF6ACB" w:rsidRPr="003249D9" w:rsidRDefault="00AB7CFF" w:rsidP="00BF6ACB">
            <w:pPr>
              <w:pStyle w:val="TASBodytext"/>
              <w:rPr>
                <w:rFonts w:asciiTheme="minorHAnsi" w:hAnsiTheme="minorHAnsi"/>
              </w:rPr>
            </w:pPr>
            <w:proofErr w:type="spellStart"/>
            <w:r w:rsidRPr="003249D9">
              <w:rPr>
                <w:rFonts w:asciiTheme="minorHAnsi" w:hAnsiTheme="minorHAnsi"/>
              </w:rPr>
              <w:t>Return</w:t>
            </w:r>
            <w:proofErr w:type="spellEnd"/>
            <w:r w:rsidRPr="003249D9">
              <w:rPr>
                <w:rFonts w:asciiTheme="minorHAnsi" w:hAnsiTheme="minorHAnsi"/>
              </w:rPr>
              <w:t xml:space="preserve"> </w:t>
            </w:r>
            <w:proofErr w:type="spellStart"/>
            <w:r w:rsidRPr="003249D9">
              <w:rPr>
                <w:rFonts w:asciiTheme="minorHAnsi" w:hAnsiTheme="minorHAnsi"/>
              </w:rPr>
              <w:t>on</w:t>
            </w:r>
            <w:proofErr w:type="spellEnd"/>
            <w:r w:rsidRPr="003249D9">
              <w:rPr>
                <w:rFonts w:asciiTheme="minorHAnsi" w:hAnsiTheme="minorHAnsi"/>
              </w:rPr>
              <w:t xml:space="preserve"> </w:t>
            </w:r>
            <w:proofErr w:type="spellStart"/>
            <w:r w:rsidRPr="003249D9">
              <w:rPr>
                <w:rFonts w:asciiTheme="minorHAnsi" w:hAnsiTheme="minorHAnsi"/>
              </w:rPr>
              <w:t>assets</w:t>
            </w:r>
            <w:proofErr w:type="spellEnd"/>
            <w:r w:rsidRPr="003249D9">
              <w:rPr>
                <w:rFonts w:asciiTheme="minorHAnsi" w:hAnsiTheme="minorHAnsi"/>
              </w:rPr>
              <w:t xml:space="preserve"> (Eszközarányos nyereség)</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NBH</w:t>
            </w:r>
          </w:p>
        </w:tc>
        <w:tc>
          <w:tcPr>
            <w:tcW w:w="6998" w:type="dxa"/>
          </w:tcPr>
          <w:p w:rsidR="00BF6ACB" w:rsidRPr="003249D9" w:rsidRDefault="00AB7CFF" w:rsidP="00BF6ACB">
            <w:pPr>
              <w:pStyle w:val="TASBodytext"/>
              <w:rPr>
                <w:rFonts w:asciiTheme="minorHAnsi" w:hAnsiTheme="minorHAnsi"/>
              </w:rPr>
            </w:pPr>
            <w:r w:rsidRPr="003249D9">
              <w:rPr>
                <w:rFonts w:asciiTheme="minorHAnsi" w:hAnsiTheme="minorHAnsi"/>
              </w:rPr>
              <w:t>National Bank of Hungary (Magyar Nemzeti Bank)</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CAR</w:t>
            </w:r>
          </w:p>
        </w:tc>
        <w:tc>
          <w:tcPr>
            <w:tcW w:w="6998" w:type="dxa"/>
          </w:tcPr>
          <w:p w:rsidR="00BF6ACB" w:rsidRPr="003249D9" w:rsidRDefault="00993BB4" w:rsidP="00BF6ACB">
            <w:pPr>
              <w:pStyle w:val="TASBodytext"/>
              <w:rPr>
                <w:rFonts w:asciiTheme="minorHAnsi" w:hAnsiTheme="minorHAnsi"/>
              </w:rPr>
            </w:pPr>
            <w:r w:rsidRPr="003249D9">
              <w:rPr>
                <w:rFonts w:asciiTheme="minorHAnsi" w:hAnsiTheme="minorHAnsi"/>
              </w:rPr>
              <w:t xml:space="preserve">Capital </w:t>
            </w:r>
            <w:proofErr w:type="spellStart"/>
            <w:r w:rsidRPr="003249D9">
              <w:rPr>
                <w:rFonts w:asciiTheme="minorHAnsi" w:hAnsiTheme="minorHAnsi"/>
              </w:rPr>
              <w:t>adequacy</w:t>
            </w:r>
            <w:proofErr w:type="spellEnd"/>
            <w:r w:rsidRPr="003249D9">
              <w:rPr>
                <w:rFonts w:asciiTheme="minorHAnsi" w:hAnsiTheme="minorHAnsi"/>
              </w:rPr>
              <w:t xml:space="preserve"> ratio (T</w:t>
            </w:r>
            <w:r w:rsidR="00AB7CFF" w:rsidRPr="003249D9">
              <w:rPr>
                <w:rFonts w:asciiTheme="minorHAnsi" w:hAnsiTheme="minorHAnsi"/>
              </w:rPr>
              <w:t>őke-megfelelési mutató)</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SME</w:t>
            </w:r>
          </w:p>
        </w:tc>
        <w:tc>
          <w:tcPr>
            <w:tcW w:w="6998" w:type="dxa"/>
          </w:tcPr>
          <w:p w:rsidR="00BF6ACB" w:rsidRPr="003249D9" w:rsidRDefault="00993BB4" w:rsidP="00BF6ACB">
            <w:pPr>
              <w:pStyle w:val="TASBodytext"/>
              <w:rPr>
                <w:rFonts w:asciiTheme="minorHAnsi" w:hAnsiTheme="minorHAnsi"/>
              </w:rPr>
            </w:pPr>
            <w:proofErr w:type="spellStart"/>
            <w:r w:rsidRPr="003249D9">
              <w:rPr>
                <w:rFonts w:asciiTheme="minorHAnsi" w:hAnsiTheme="minorHAnsi"/>
              </w:rPr>
              <w:t>Small-</w:t>
            </w:r>
            <w:proofErr w:type="spellEnd"/>
            <w:r w:rsidRPr="003249D9">
              <w:rPr>
                <w:rFonts w:asciiTheme="minorHAnsi" w:hAnsiTheme="minorHAnsi"/>
              </w:rPr>
              <w:t xml:space="preserve"> and </w:t>
            </w:r>
            <w:proofErr w:type="spellStart"/>
            <w:r w:rsidRPr="003249D9">
              <w:rPr>
                <w:rFonts w:asciiTheme="minorHAnsi" w:hAnsiTheme="minorHAnsi"/>
              </w:rPr>
              <w:t>middle</w:t>
            </w:r>
            <w:proofErr w:type="spellEnd"/>
            <w:r w:rsidRPr="003249D9">
              <w:rPr>
                <w:rFonts w:asciiTheme="minorHAnsi" w:hAnsiTheme="minorHAnsi"/>
              </w:rPr>
              <w:t xml:space="preserve"> </w:t>
            </w:r>
            <w:proofErr w:type="spellStart"/>
            <w:r w:rsidRPr="003249D9">
              <w:rPr>
                <w:rFonts w:asciiTheme="minorHAnsi" w:hAnsiTheme="minorHAnsi"/>
              </w:rPr>
              <w:t>enterprises</w:t>
            </w:r>
            <w:proofErr w:type="spellEnd"/>
            <w:r w:rsidRPr="003249D9">
              <w:rPr>
                <w:rFonts w:asciiTheme="minorHAnsi" w:hAnsiTheme="minorHAnsi"/>
              </w:rPr>
              <w:t xml:space="preserve"> (K</w:t>
            </w:r>
            <w:r w:rsidR="00AB7CFF" w:rsidRPr="003249D9">
              <w:rPr>
                <w:rFonts w:asciiTheme="minorHAnsi" w:hAnsiTheme="minorHAnsi"/>
              </w:rPr>
              <w:t>is- és középvállalkozások)</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NAMAC</w:t>
            </w:r>
          </w:p>
        </w:tc>
        <w:tc>
          <w:tcPr>
            <w:tcW w:w="6998" w:type="dxa"/>
          </w:tcPr>
          <w:p w:rsidR="00BF6ACB" w:rsidRPr="003249D9" w:rsidRDefault="00AB7CFF" w:rsidP="00BF6ACB">
            <w:pPr>
              <w:pStyle w:val="TASBodytext"/>
              <w:rPr>
                <w:rFonts w:asciiTheme="minorHAnsi" w:hAnsiTheme="minorHAnsi"/>
              </w:rPr>
            </w:pPr>
            <w:r w:rsidRPr="003249D9">
              <w:rPr>
                <w:rFonts w:asciiTheme="minorHAnsi" w:hAnsiTheme="minorHAnsi"/>
              </w:rPr>
              <w:t xml:space="preserve">National </w:t>
            </w:r>
            <w:proofErr w:type="spellStart"/>
            <w:r w:rsidRPr="003249D9">
              <w:rPr>
                <w:rFonts w:asciiTheme="minorHAnsi" w:hAnsiTheme="minorHAnsi"/>
              </w:rPr>
              <w:t>Asset</w:t>
            </w:r>
            <w:proofErr w:type="spellEnd"/>
            <w:r w:rsidRPr="003249D9">
              <w:rPr>
                <w:rFonts w:asciiTheme="minorHAnsi" w:hAnsiTheme="minorHAnsi"/>
              </w:rPr>
              <w:t xml:space="preserve"> Manager </w:t>
            </w:r>
            <w:proofErr w:type="spellStart"/>
            <w:r w:rsidRPr="003249D9">
              <w:rPr>
                <w:rFonts w:asciiTheme="minorHAnsi" w:hAnsiTheme="minorHAnsi"/>
              </w:rPr>
              <w:t>Company</w:t>
            </w:r>
            <w:proofErr w:type="spellEnd"/>
            <w:r w:rsidRPr="003249D9">
              <w:rPr>
                <w:rFonts w:asciiTheme="minorHAnsi" w:hAnsiTheme="minorHAnsi"/>
              </w:rPr>
              <w:t xml:space="preserve"> (Nemzeti Eszközkezelő Hivatal)</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AQR</w:t>
            </w:r>
          </w:p>
        </w:tc>
        <w:tc>
          <w:tcPr>
            <w:tcW w:w="6998" w:type="dxa"/>
          </w:tcPr>
          <w:p w:rsidR="00BF6ACB" w:rsidRPr="003249D9" w:rsidRDefault="00993BB4" w:rsidP="00BF6ACB">
            <w:pPr>
              <w:pStyle w:val="TASBodytext"/>
              <w:rPr>
                <w:rFonts w:asciiTheme="minorHAnsi" w:hAnsiTheme="minorHAnsi"/>
              </w:rPr>
            </w:pPr>
            <w:proofErr w:type="spellStart"/>
            <w:r w:rsidRPr="003249D9">
              <w:rPr>
                <w:rFonts w:asciiTheme="minorHAnsi" w:hAnsiTheme="minorHAnsi"/>
              </w:rPr>
              <w:t>Asset</w:t>
            </w:r>
            <w:proofErr w:type="spellEnd"/>
            <w:r w:rsidRPr="003249D9">
              <w:rPr>
                <w:rFonts w:asciiTheme="minorHAnsi" w:hAnsiTheme="minorHAnsi"/>
              </w:rPr>
              <w:t xml:space="preserve"> </w:t>
            </w:r>
            <w:proofErr w:type="spellStart"/>
            <w:r w:rsidRPr="003249D9">
              <w:rPr>
                <w:rFonts w:asciiTheme="minorHAnsi" w:hAnsiTheme="minorHAnsi"/>
              </w:rPr>
              <w:t>quality</w:t>
            </w:r>
            <w:proofErr w:type="spellEnd"/>
            <w:r w:rsidRPr="003249D9">
              <w:rPr>
                <w:rFonts w:asciiTheme="minorHAnsi" w:hAnsiTheme="minorHAnsi"/>
              </w:rPr>
              <w:t xml:space="preserve"> </w:t>
            </w:r>
            <w:proofErr w:type="spellStart"/>
            <w:r w:rsidRPr="003249D9">
              <w:rPr>
                <w:rFonts w:asciiTheme="minorHAnsi" w:hAnsiTheme="minorHAnsi"/>
              </w:rPr>
              <w:t>review</w:t>
            </w:r>
            <w:proofErr w:type="spellEnd"/>
            <w:r w:rsidRPr="003249D9">
              <w:rPr>
                <w:rFonts w:asciiTheme="minorHAnsi" w:hAnsiTheme="minorHAnsi"/>
              </w:rPr>
              <w:t xml:space="preserve"> (E</w:t>
            </w:r>
            <w:r w:rsidR="00AB7CFF" w:rsidRPr="003249D9">
              <w:rPr>
                <w:rFonts w:asciiTheme="minorHAnsi" w:hAnsiTheme="minorHAnsi"/>
              </w:rPr>
              <w:t>szközök minőségének vizsgálata)</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proofErr w:type="spellStart"/>
            <w:r w:rsidRPr="003249D9">
              <w:rPr>
                <w:rFonts w:asciiTheme="minorHAnsi" w:hAnsiTheme="minorHAnsi"/>
              </w:rPr>
              <w:t>CoF</w:t>
            </w:r>
            <w:proofErr w:type="spellEnd"/>
          </w:p>
        </w:tc>
        <w:tc>
          <w:tcPr>
            <w:tcW w:w="6998" w:type="dxa"/>
          </w:tcPr>
          <w:p w:rsidR="00BF6ACB" w:rsidRPr="003249D9" w:rsidRDefault="00AB7CFF" w:rsidP="00BF6ACB">
            <w:pPr>
              <w:pStyle w:val="TASBodytext"/>
              <w:rPr>
                <w:rFonts w:asciiTheme="minorHAnsi" w:hAnsiTheme="minorHAnsi"/>
              </w:rPr>
            </w:pPr>
            <w:proofErr w:type="spellStart"/>
            <w:r w:rsidRPr="003249D9">
              <w:rPr>
                <w:rFonts w:asciiTheme="minorHAnsi" w:hAnsiTheme="minorHAnsi"/>
              </w:rPr>
              <w:t>Cost</w:t>
            </w:r>
            <w:proofErr w:type="spellEnd"/>
            <w:r w:rsidRPr="003249D9">
              <w:rPr>
                <w:rFonts w:asciiTheme="minorHAnsi" w:hAnsiTheme="minorHAnsi"/>
              </w:rPr>
              <w:t xml:space="preserve"> of </w:t>
            </w:r>
            <w:proofErr w:type="spellStart"/>
            <w:r w:rsidRPr="003249D9">
              <w:rPr>
                <w:rFonts w:asciiTheme="minorHAnsi" w:hAnsiTheme="minorHAnsi"/>
              </w:rPr>
              <w:t>Funding</w:t>
            </w:r>
            <w:proofErr w:type="spellEnd"/>
            <w:r w:rsidRPr="003249D9">
              <w:rPr>
                <w:rFonts w:asciiTheme="minorHAnsi" w:hAnsiTheme="minorHAnsi"/>
              </w:rPr>
              <w:t xml:space="preserve"> (Finanszírozás költségei)</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LTV</w:t>
            </w:r>
          </w:p>
        </w:tc>
        <w:tc>
          <w:tcPr>
            <w:tcW w:w="6998" w:type="dxa"/>
          </w:tcPr>
          <w:p w:rsidR="00BF6ACB" w:rsidRPr="003249D9" w:rsidRDefault="00AB7CFF" w:rsidP="00BF6ACB">
            <w:pPr>
              <w:pStyle w:val="TASBodytext"/>
              <w:rPr>
                <w:rFonts w:asciiTheme="minorHAnsi" w:hAnsiTheme="minorHAnsi"/>
              </w:rPr>
            </w:pPr>
            <w:proofErr w:type="spellStart"/>
            <w:r w:rsidRPr="003249D9">
              <w:rPr>
                <w:rFonts w:asciiTheme="minorHAnsi" w:hAnsiTheme="minorHAnsi"/>
              </w:rPr>
              <w:t>Loan</w:t>
            </w:r>
            <w:proofErr w:type="spellEnd"/>
            <w:r w:rsidRPr="003249D9">
              <w:rPr>
                <w:rFonts w:asciiTheme="minorHAnsi" w:hAnsiTheme="minorHAnsi"/>
              </w:rPr>
              <w:t xml:space="preserve"> </w:t>
            </w:r>
            <w:proofErr w:type="spellStart"/>
            <w:r w:rsidRPr="003249D9">
              <w:rPr>
                <w:rFonts w:asciiTheme="minorHAnsi" w:hAnsiTheme="minorHAnsi"/>
              </w:rPr>
              <w:t>to</w:t>
            </w:r>
            <w:proofErr w:type="spellEnd"/>
            <w:r w:rsidRPr="003249D9">
              <w:rPr>
                <w:rFonts w:asciiTheme="minorHAnsi" w:hAnsiTheme="minorHAnsi"/>
              </w:rPr>
              <w:t xml:space="preserve"> </w:t>
            </w:r>
            <w:proofErr w:type="spellStart"/>
            <w:r w:rsidRPr="003249D9">
              <w:rPr>
                <w:rFonts w:asciiTheme="minorHAnsi" w:hAnsiTheme="minorHAnsi"/>
              </w:rPr>
              <w:t>value</w:t>
            </w:r>
            <w:proofErr w:type="spellEnd"/>
            <w:r w:rsidRPr="003249D9">
              <w:rPr>
                <w:rFonts w:asciiTheme="minorHAnsi" w:hAnsiTheme="minorHAnsi"/>
              </w:rPr>
              <w:t xml:space="preserve"> (Hitelbiztosítéki érték)</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DSCR</w:t>
            </w:r>
          </w:p>
        </w:tc>
        <w:tc>
          <w:tcPr>
            <w:tcW w:w="6998" w:type="dxa"/>
          </w:tcPr>
          <w:p w:rsidR="00BF6ACB" w:rsidRPr="003249D9" w:rsidRDefault="00993BB4" w:rsidP="00BF6ACB">
            <w:pPr>
              <w:pStyle w:val="TASBodytext"/>
              <w:rPr>
                <w:rFonts w:asciiTheme="minorHAnsi" w:hAnsiTheme="minorHAnsi"/>
              </w:rPr>
            </w:pPr>
            <w:proofErr w:type="spellStart"/>
            <w:r w:rsidRPr="003249D9">
              <w:rPr>
                <w:rFonts w:asciiTheme="minorHAnsi" w:hAnsiTheme="minorHAnsi"/>
              </w:rPr>
              <w:t>Debt</w:t>
            </w:r>
            <w:proofErr w:type="spellEnd"/>
            <w:r w:rsidRPr="003249D9">
              <w:rPr>
                <w:rFonts w:asciiTheme="minorHAnsi" w:hAnsiTheme="minorHAnsi"/>
              </w:rPr>
              <w:t xml:space="preserve"> service </w:t>
            </w:r>
            <w:proofErr w:type="spellStart"/>
            <w:r w:rsidRPr="003249D9">
              <w:rPr>
                <w:rFonts w:asciiTheme="minorHAnsi" w:hAnsiTheme="minorHAnsi"/>
              </w:rPr>
              <w:t>coverage</w:t>
            </w:r>
            <w:proofErr w:type="spellEnd"/>
            <w:r w:rsidRPr="003249D9">
              <w:rPr>
                <w:rFonts w:asciiTheme="minorHAnsi" w:hAnsiTheme="minorHAnsi"/>
              </w:rPr>
              <w:t xml:space="preserve"> ratio (A</w:t>
            </w:r>
            <w:r w:rsidR="00AB7CFF" w:rsidRPr="003249D9">
              <w:rPr>
                <w:rFonts w:asciiTheme="minorHAnsi" w:hAnsiTheme="minorHAnsi"/>
              </w:rPr>
              <w:t>dósságszolgálati fedezeti mutató)</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DSRA</w:t>
            </w:r>
          </w:p>
        </w:tc>
        <w:tc>
          <w:tcPr>
            <w:tcW w:w="6998" w:type="dxa"/>
          </w:tcPr>
          <w:p w:rsidR="00BF6ACB" w:rsidRPr="003249D9" w:rsidRDefault="00993BB4" w:rsidP="00BF6ACB">
            <w:pPr>
              <w:pStyle w:val="TASBodytext"/>
              <w:rPr>
                <w:rFonts w:asciiTheme="minorHAnsi" w:hAnsiTheme="minorHAnsi"/>
              </w:rPr>
            </w:pPr>
            <w:proofErr w:type="spellStart"/>
            <w:r w:rsidRPr="003249D9">
              <w:rPr>
                <w:rFonts w:asciiTheme="minorHAnsi" w:hAnsiTheme="minorHAnsi"/>
              </w:rPr>
              <w:t>Debt</w:t>
            </w:r>
            <w:proofErr w:type="spellEnd"/>
            <w:r w:rsidRPr="003249D9">
              <w:rPr>
                <w:rFonts w:asciiTheme="minorHAnsi" w:hAnsiTheme="minorHAnsi"/>
              </w:rPr>
              <w:t xml:space="preserve"> service </w:t>
            </w:r>
            <w:proofErr w:type="spellStart"/>
            <w:r w:rsidRPr="003249D9">
              <w:rPr>
                <w:rFonts w:asciiTheme="minorHAnsi" w:hAnsiTheme="minorHAnsi"/>
              </w:rPr>
              <w:t>reserve</w:t>
            </w:r>
            <w:proofErr w:type="spellEnd"/>
            <w:r w:rsidRPr="003249D9">
              <w:rPr>
                <w:rFonts w:asciiTheme="minorHAnsi" w:hAnsiTheme="minorHAnsi"/>
              </w:rPr>
              <w:t xml:space="preserve"> account (A</w:t>
            </w:r>
            <w:r w:rsidR="00AB7CFF" w:rsidRPr="003249D9">
              <w:rPr>
                <w:rFonts w:asciiTheme="minorHAnsi" w:hAnsiTheme="minorHAnsi"/>
              </w:rPr>
              <w:t>dósságszolgálati tartalékszámla)</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EU</w:t>
            </w:r>
          </w:p>
        </w:tc>
        <w:tc>
          <w:tcPr>
            <w:tcW w:w="6998" w:type="dxa"/>
          </w:tcPr>
          <w:p w:rsidR="00BF6ACB" w:rsidRPr="003249D9" w:rsidRDefault="00AB7CFF" w:rsidP="00BF6ACB">
            <w:pPr>
              <w:pStyle w:val="TASBodytext"/>
              <w:rPr>
                <w:rFonts w:asciiTheme="minorHAnsi" w:hAnsiTheme="minorHAnsi"/>
              </w:rPr>
            </w:pPr>
            <w:r w:rsidRPr="003249D9">
              <w:rPr>
                <w:rFonts w:asciiTheme="minorHAnsi" w:hAnsiTheme="minorHAnsi"/>
              </w:rPr>
              <w:t>Európai Unió</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IRR</w:t>
            </w:r>
          </w:p>
        </w:tc>
        <w:tc>
          <w:tcPr>
            <w:tcW w:w="6998" w:type="dxa"/>
          </w:tcPr>
          <w:p w:rsidR="00BF6ACB" w:rsidRPr="003249D9" w:rsidRDefault="00AB7CFF" w:rsidP="00BF6ACB">
            <w:pPr>
              <w:pStyle w:val="TASBodytext"/>
              <w:rPr>
                <w:rFonts w:asciiTheme="minorHAnsi" w:hAnsiTheme="minorHAnsi"/>
              </w:rPr>
            </w:pPr>
            <w:proofErr w:type="spellStart"/>
            <w:r w:rsidRPr="003249D9">
              <w:rPr>
                <w:rFonts w:asciiTheme="minorHAnsi" w:hAnsiTheme="minorHAnsi"/>
              </w:rPr>
              <w:t>Int</w:t>
            </w:r>
            <w:r w:rsidR="00993BB4" w:rsidRPr="003249D9">
              <w:rPr>
                <w:rFonts w:asciiTheme="minorHAnsi" w:hAnsiTheme="minorHAnsi"/>
              </w:rPr>
              <w:t>ernal</w:t>
            </w:r>
            <w:proofErr w:type="spellEnd"/>
            <w:r w:rsidR="00993BB4" w:rsidRPr="003249D9">
              <w:rPr>
                <w:rFonts w:asciiTheme="minorHAnsi" w:hAnsiTheme="minorHAnsi"/>
              </w:rPr>
              <w:t xml:space="preserve"> </w:t>
            </w:r>
            <w:proofErr w:type="spellStart"/>
            <w:r w:rsidR="00993BB4" w:rsidRPr="003249D9">
              <w:rPr>
                <w:rFonts w:asciiTheme="minorHAnsi" w:hAnsiTheme="minorHAnsi"/>
              </w:rPr>
              <w:t>rate</w:t>
            </w:r>
            <w:proofErr w:type="spellEnd"/>
            <w:r w:rsidR="00993BB4" w:rsidRPr="003249D9">
              <w:rPr>
                <w:rFonts w:asciiTheme="minorHAnsi" w:hAnsiTheme="minorHAnsi"/>
              </w:rPr>
              <w:t xml:space="preserve"> of </w:t>
            </w:r>
            <w:proofErr w:type="spellStart"/>
            <w:r w:rsidR="00993BB4" w:rsidRPr="003249D9">
              <w:rPr>
                <w:rFonts w:asciiTheme="minorHAnsi" w:hAnsiTheme="minorHAnsi"/>
              </w:rPr>
              <w:t>return</w:t>
            </w:r>
            <w:proofErr w:type="spellEnd"/>
            <w:r w:rsidR="00993BB4" w:rsidRPr="003249D9">
              <w:rPr>
                <w:rFonts w:asciiTheme="minorHAnsi" w:hAnsiTheme="minorHAnsi"/>
              </w:rPr>
              <w:t xml:space="preserve"> (B</w:t>
            </w:r>
            <w:r w:rsidRPr="003249D9">
              <w:rPr>
                <w:rFonts w:asciiTheme="minorHAnsi" w:hAnsiTheme="minorHAnsi"/>
              </w:rPr>
              <w:t>első megtérülési ráta)</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AMC</w:t>
            </w:r>
          </w:p>
        </w:tc>
        <w:tc>
          <w:tcPr>
            <w:tcW w:w="6998" w:type="dxa"/>
          </w:tcPr>
          <w:p w:rsidR="00BF6ACB" w:rsidRPr="003249D9" w:rsidRDefault="00AB7CFF" w:rsidP="00BF6ACB">
            <w:pPr>
              <w:pStyle w:val="TASBodytext"/>
              <w:rPr>
                <w:rFonts w:asciiTheme="minorHAnsi" w:hAnsiTheme="minorHAnsi"/>
              </w:rPr>
            </w:pPr>
            <w:proofErr w:type="spellStart"/>
            <w:r w:rsidRPr="003249D9">
              <w:rPr>
                <w:rFonts w:asciiTheme="minorHAnsi" w:hAnsiTheme="minorHAnsi"/>
              </w:rPr>
              <w:t>Asset</w:t>
            </w:r>
            <w:proofErr w:type="spellEnd"/>
            <w:r w:rsidRPr="003249D9">
              <w:rPr>
                <w:rFonts w:asciiTheme="minorHAnsi" w:hAnsiTheme="minorHAnsi"/>
              </w:rPr>
              <w:t xml:space="preserve"> Manager </w:t>
            </w:r>
            <w:proofErr w:type="spellStart"/>
            <w:r w:rsidRPr="003249D9">
              <w:rPr>
                <w:rFonts w:asciiTheme="minorHAnsi" w:hAnsiTheme="minorHAnsi"/>
              </w:rPr>
              <w:t>Company</w:t>
            </w:r>
            <w:proofErr w:type="spellEnd"/>
            <w:r w:rsidRPr="003249D9">
              <w:rPr>
                <w:rFonts w:asciiTheme="minorHAnsi" w:hAnsiTheme="minorHAnsi"/>
              </w:rPr>
              <w:t xml:space="preserve"> (</w:t>
            </w:r>
            <w:proofErr w:type="spellStart"/>
            <w:r w:rsidRPr="003249D9">
              <w:rPr>
                <w:rFonts w:asciiTheme="minorHAnsi" w:hAnsiTheme="minorHAnsi"/>
              </w:rPr>
              <w:t>planned</w:t>
            </w:r>
            <w:proofErr w:type="spellEnd"/>
            <w:r w:rsidRPr="003249D9">
              <w:rPr>
                <w:rFonts w:asciiTheme="minorHAnsi" w:hAnsiTheme="minorHAnsi"/>
              </w:rPr>
              <w:t xml:space="preserve"> </w:t>
            </w:r>
            <w:proofErr w:type="spellStart"/>
            <w:r w:rsidRPr="003249D9">
              <w:rPr>
                <w:rFonts w:asciiTheme="minorHAnsi" w:hAnsiTheme="minorHAnsi"/>
              </w:rPr>
              <w:t>Bad</w:t>
            </w:r>
            <w:proofErr w:type="spellEnd"/>
            <w:r w:rsidRPr="003249D9">
              <w:rPr>
                <w:rFonts w:asciiTheme="minorHAnsi" w:hAnsiTheme="minorHAnsi"/>
              </w:rPr>
              <w:t xml:space="preserve"> Bank </w:t>
            </w:r>
            <w:proofErr w:type="spellStart"/>
            <w:r w:rsidRPr="003249D9">
              <w:rPr>
                <w:rFonts w:asciiTheme="minorHAnsi" w:hAnsiTheme="minorHAnsi"/>
              </w:rPr>
              <w:t>by</w:t>
            </w:r>
            <w:proofErr w:type="spellEnd"/>
            <w:r w:rsidRPr="003249D9">
              <w:rPr>
                <w:rFonts w:asciiTheme="minorHAnsi" w:hAnsiTheme="minorHAnsi"/>
              </w:rPr>
              <w:t xml:space="preserve"> </w:t>
            </w:r>
            <w:proofErr w:type="spellStart"/>
            <w:r w:rsidRPr="003249D9">
              <w:rPr>
                <w:rFonts w:asciiTheme="minorHAnsi" w:hAnsiTheme="minorHAnsi"/>
              </w:rPr>
              <w:t>the</w:t>
            </w:r>
            <w:proofErr w:type="spellEnd"/>
            <w:r w:rsidRPr="003249D9">
              <w:rPr>
                <w:rFonts w:asciiTheme="minorHAnsi" w:hAnsiTheme="minorHAnsi"/>
              </w:rPr>
              <w:t xml:space="preserve"> National Bank of Hungary) (Eszközkezelő Hivatal /a Magyar Nemzeti Bank által tervezett „rossz bank”/)</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IAS</w:t>
            </w:r>
          </w:p>
        </w:tc>
        <w:tc>
          <w:tcPr>
            <w:tcW w:w="6998" w:type="dxa"/>
          </w:tcPr>
          <w:p w:rsidR="00BF6ACB" w:rsidRPr="003249D9" w:rsidRDefault="00AB7CFF" w:rsidP="00BF6ACB">
            <w:pPr>
              <w:pStyle w:val="TASBodytext"/>
              <w:rPr>
                <w:rFonts w:asciiTheme="minorHAnsi" w:hAnsiTheme="minorHAnsi"/>
              </w:rPr>
            </w:pPr>
            <w:r w:rsidRPr="003249D9">
              <w:rPr>
                <w:rFonts w:asciiTheme="minorHAnsi" w:hAnsiTheme="minorHAnsi"/>
              </w:rPr>
              <w:t xml:space="preserve">International Accounting </w:t>
            </w:r>
            <w:proofErr w:type="spellStart"/>
            <w:r w:rsidRPr="003249D9">
              <w:rPr>
                <w:rFonts w:asciiTheme="minorHAnsi" w:hAnsiTheme="minorHAnsi"/>
              </w:rPr>
              <w:t>Standards</w:t>
            </w:r>
            <w:proofErr w:type="spellEnd"/>
            <w:r w:rsidRPr="003249D9">
              <w:rPr>
                <w:rFonts w:asciiTheme="minorHAnsi" w:hAnsiTheme="minorHAnsi"/>
              </w:rPr>
              <w:t xml:space="preserve"> (Nemzetközi Számviteli Standardok)</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CIT</w:t>
            </w:r>
          </w:p>
        </w:tc>
        <w:tc>
          <w:tcPr>
            <w:tcW w:w="6998" w:type="dxa"/>
          </w:tcPr>
          <w:p w:rsidR="00BF6ACB" w:rsidRPr="003249D9" w:rsidRDefault="00AB7CFF" w:rsidP="007206FC">
            <w:pPr>
              <w:pStyle w:val="TASBodytext"/>
              <w:rPr>
                <w:rFonts w:asciiTheme="minorHAnsi" w:hAnsiTheme="minorHAnsi"/>
              </w:rPr>
            </w:pPr>
            <w:proofErr w:type="spellStart"/>
            <w:r w:rsidRPr="003249D9">
              <w:rPr>
                <w:rFonts w:asciiTheme="minorHAnsi" w:hAnsiTheme="minorHAnsi"/>
              </w:rPr>
              <w:t>Corporate</w:t>
            </w:r>
            <w:proofErr w:type="spellEnd"/>
            <w:r w:rsidRPr="003249D9">
              <w:rPr>
                <w:rFonts w:asciiTheme="minorHAnsi" w:hAnsiTheme="minorHAnsi"/>
              </w:rPr>
              <w:t xml:space="preserve"> </w:t>
            </w:r>
            <w:proofErr w:type="spellStart"/>
            <w:r w:rsidRPr="003249D9">
              <w:rPr>
                <w:rFonts w:asciiTheme="minorHAnsi" w:hAnsiTheme="minorHAnsi"/>
              </w:rPr>
              <w:t>income</w:t>
            </w:r>
            <w:proofErr w:type="spellEnd"/>
            <w:r w:rsidRPr="003249D9">
              <w:rPr>
                <w:rFonts w:asciiTheme="minorHAnsi" w:hAnsiTheme="minorHAnsi"/>
              </w:rPr>
              <w:t xml:space="preserve"> tax (Társasági adó)</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IFRS</w:t>
            </w:r>
          </w:p>
        </w:tc>
        <w:tc>
          <w:tcPr>
            <w:tcW w:w="6998" w:type="dxa"/>
          </w:tcPr>
          <w:p w:rsidR="00BF6ACB" w:rsidRPr="003249D9" w:rsidRDefault="00AB7CFF" w:rsidP="00BF6ACB">
            <w:pPr>
              <w:pStyle w:val="TASBodytext"/>
              <w:rPr>
                <w:rFonts w:asciiTheme="minorHAnsi" w:hAnsiTheme="minorHAnsi"/>
              </w:rPr>
            </w:pPr>
            <w:r w:rsidRPr="003249D9">
              <w:rPr>
                <w:rFonts w:asciiTheme="minorHAnsi" w:hAnsiTheme="minorHAnsi"/>
              </w:rPr>
              <w:t xml:space="preserve">International Financial </w:t>
            </w:r>
            <w:proofErr w:type="spellStart"/>
            <w:r w:rsidRPr="003249D9">
              <w:rPr>
                <w:rFonts w:asciiTheme="minorHAnsi" w:hAnsiTheme="minorHAnsi"/>
              </w:rPr>
              <w:t>Reporting</w:t>
            </w:r>
            <w:proofErr w:type="spellEnd"/>
            <w:r w:rsidRPr="003249D9">
              <w:rPr>
                <w:rFonts w:asciiTheme="minorHAnsi" w:hAnsiTheme="minorHAnsi"/>
              </w:rPr>
              <w:t xml:space="preserve"> </w:t>
            </w:r>
            <w:proofErr w:type="spellStart"/>
            <w:r w:rsidRPr="003249D9">
              <w:rPr>
                <w:rFonts w:asciiTheme="minorHAnsi" w:hAnsiTheme="minorHAnsi"/>
              </w:rPr>
              <w:t>Standards</w:t>
            </w:r>
            <w:proofErr w:type="spellEnd"/>
            <w:r w:rsidRPr="003249D9">
              <w:rPr>
                <w:rFonts w:asciiTheme="minorHAnsi" w:hAnsiTheme="minorHAnsi"/>
              </w:rPr>
              <w:t xml:space="preserve"> (Nemzetközi Pénzügyi Beszámolási Standardok)</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TLCF</w:t>
            </w:r>
          </w:p>
        </w:tc>
        <w:tc>
          <w:tcPr>
            <w:tcW w:w="6998" w:type="dxa"/>
          </w:tcPr>
          <w:p w:rsidR="00BF6ACB" w:rsidRPr="003249D9" w:rsidRDefault="00993BB4" w:rsidP="00BF6ACB">
            <w:pPr>
              <w:pStyle w:val="TASBodytext"/>
              <w:rPr>
                <w:rFonts w:asciiTheme="minorHAnsi" w:hAnsiTheme="minorHAnsi"/>
              </w:rPr>
            </w:pPr>
            <w:r w:rsidRPr="003249D9">
              <w:rPr>
                <w:rFonts w:asciiTheme="minorHAnsi" w:hAnsiTheme="minorHAnsi"/>
              </w:rPr>
              <w:t xml:space="preserve">Tax </w:t>
            </w:r>
            <w:proofErr w:type="spellStart"/>
            <w:r w:rsidRPr="003249D9">
              <w:rPr>
                <w:rFonts w:asciiTheme="minorHAnsi" w:hAnsiTheme="minorHAnsi"/>
              </w:rPr>
              <w:t>losses</w:t>
            </w:r>
            <w:proofErr w:type="spellEnd"/>
            <w:r w:rsidRPr="003249D9">
              <w:rPr>
                <w:rFonts w:asciiTheme="minorHAnsi" w:hAnsiTheme="minorHAnsi"/>
              </w:rPr>
              <w:t xml:space="preserve"> </w:t>
            </w:r>
            <w:proofErr w:type="spellStart"/>
            <w:r w:rsidRPr="003249D9">
              <w:rPr>
                <w:rFonts w:asciiTheme="minorHAnsi" w:hAnsiTheme="minorHAnsi"/>
              </w:rPr>
              <w:t>carried</w:t>
            </w:r>
            <w:proofErr w:type="spellEnd"/>
            <w:r w:rsidRPr="003249D9">
              <w:rPr>
                <w:rFonts w:asciiTheme="minorHAnsi" w:hAnsiTheme="minorHAnsi"/>
              </w:rPr>
              <w:t xml:space="preserve"> </w:t>
            </w:r>
            <w:proofErr w:type="spellStart"/>
            <w:r w:rsidRPr="003249D9">
              <w:rPr>
                <w:rFonts w:asciiTheme="minorHAnsi" w:hAnsiTheme="minorHAnsi"/>
              </w:rPr>
              <w:t>forward</w:t>
            </w:r>
            <w:proofErr w:type="spellEnd"/>
            <w:r w:rsidRPr="003249D9">
              <w:rPr>
                <w:rFonts w:asciiTheme="minorHAnsi" w:hAnsiTheme="minorHAnsi"/>
              </w:rPr>
              <w:t xml:space="preserve"> (T</w:t>
            </w:r>
            <w:r w:rsidR="00AB7CFF" w:rsidRPr="003249D9">
              <w:rPr>
                <w:rFonts w:asciiTheme="minorHAnsi" w:hAnsiTheme="minorHAnsi"/>
              </w:rPr>
              <w:t>ovábbvitt adóveszteségek)</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LBT</w:t>
            </w:r>
          </w:p>
        </w:tc>
        <w:tc>
          <w:tcPr>
            <w:tcW w:w="6998" w:type="dxa"/>
          </w:tcPr>
          <w:p w:rsidR="00BF6ACB" w:rsidRPr="003249D9" w:rsidRDefault="00AB7CFF" w:rsidP="00BF6ACB">
            <w:pPr>
              <w:pStyle w:val="TASBodytext"/>
              <w:rPr>
                <w:rFonts w:asciiTheme="minorHAnsi" w:hAnsiTheme="minorHAnsi"/>
              </w:rPr>
            </w:pPr>
            <w:r w:rsidRPr="003249D9">
              <w:rPr>
                <w:rFonts w:asciiTheme="minorHAnsi" w:hAnsiTheme="minorHAnsi"/>
              </w:rPr>
              <w:t>Local business tax (Helyi iparűzési adó)</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EC</w:t>
            </w:r>
          </w:p>
        </w:tc>
        <w:tc>
          <w:tcPr>
            <w:tcW w:w="6998" w:type="dxa"/>
          </w:tcPr>
          <w:p w:rsidR="00BF6ACB" w:rsidRPr="003249D9" w:rsidRDefault="00AB7CFF" w:rsidP="00BF6ACB">
            <w:pPr>
              <w:pStyle w:val="TASBodytext"/>
              <w:rPr>
                <w:rFonts w:asciiTheme="minorHAnsi" w:hAnsiTheme="minorHAnsi"/>
              </w:rPr>
            </w:pPr>
            <w:r w:rsidRPr="003249D9">
              <w:rPr>
                <w:rFonts w:asciiTheme="minorHAnsi" w:hAnsiTheme="minorHAnsi"/>
              </w:rPr>
              <w:t xml:space="preserve">European </w:t>
            </w:r>
            <w:proofErr w:type="spellStart"/>
            <w:r w:rsidRPr="003249D9">
              <w:rPr>
                <w:rFonts w:asciiTheme="minorHAnsi" w:hAnsiTheme="minorHAnsi"/>
              </w:rPr>
              <w:t>Committee</w:t>
            </w:r>
            <w:proofErr w:type="spellEnd"/>
            <w:r w:rsidRPr="003249D9">
              <w:rPr>
                <w:rFonts w:asciiTheme="minorHAnsi" w:hAnsiTheme="minorHAnsi"/>
              </w:rPr>
              <w:t xml:space="preserve"> (Európai Bizottság)</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P&amp;L</w:t>
            </w:r>
          </w:p>
        </w:tc>
        <w:tc>
          <w:tcPr>
            <w:tcW w:w="6998" w:type="dxa"/>
          </w:tcPr>
          <w:p w:rsidR="00BF6ACB" w:rsidRPr="003249D9" w:rsidRDefault="00993BB4" w:rsidP="00BF6ACB">
            <w:pPr>
              <w:pStyle w:val="TASBodytext"/>
              <w:rPr>
                <w:rFonts w:asciiTheme="minorHAnsi" w:hAnsiTheme="minorHAnsi"/>
              </w:rPr>
            </w:pPr>
            <w:r w:rsidRPr="003249D9">
              <w:rPr>
                <w:rFonts w:asciiTheme="minorHAnsi" w:hAnsiTheme="minorHAnsi"/>
              </w:rPr>
              <w:t xml:space="preserve">Profit and </w:t>
            </w:r>
            <w:proofErr w:type="spellStart"/>
            <w:r w:rsidRPr="003249D9">
              <w:rPr>
                <w:rFonts w:asciiTheme="minorHAnsi" w:hAnsiTheme="minorHAnsi"/>
              </w:rPr>
              <w:t>loss</w:t>
            </w:r>
            <w:proofErr w:type="spellEnd"/>
            <w:r w:rsidRPr="003249D9">
              <w:rPr>
                <w:rFonts w:asciiTheme="minorHAnsi" w:hAnsiTheme="minorHAnsi"/>
              </w:rPr>
              <w:t xml:space="preserve"> </w:t>
            </w:r>
            <w:proofErr w:type="spellStart"/>
            <w:r w:rsidRPr="003249D9">
              <w:rPr>
                <w:rFonts w:asciiTheme="minorHAnsi" w:hAnsiTheme="minorHAnsi"/>
              </w:rPr>
              <w:t>statement</w:t>
            </w:r>
            <w:proofErr w:type="spellEnd"/>
            <w:r w:rsidRPr="003249D9">
              <w:rPr>
                <w:rFonts w:asciiTheme="minorHAnsi" w:hAnsiTheme="minorHAnsi"/>
              </w:rPr>
              <w:t xml:space="preserve"> (</w:t>
            </w:r>
            <w:proofErr w:type="spellStart"/>
            <w:r w:rsidRPr="003249D9">
              <w:rPr>
                <w:rFonts w:asciiTheme="minorHAnsi" w:hAnsiTheme="minorHAnsi"/>
              </w:rPr>
              <w:t>E</w:t>
            </w:r>
            <w:r w:rsidR="00AB7CFF" w:rsidRPr="003249D9">
              <w:rPr>
                <w:rFonts w:asciiTheme="minorHAnsi" w:hAnsiTheme="minorHAnsi"/>
              </w:rPr>
              <w:t>redménykimutatás</w:t>
            </w:r>
            <w:proofErr w:type="spellEnd"/>
            <w:r w:rsidR="00AB7CFF" w:rsidRPr="003249D9">
              <w:rPr>
                <w:rFonts w:asciiTheme="minorHAnsi" w:hAnsiTheme="minorHAnsi"/>
              </w:rPr>
              <w:t>)</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UK</w:t>
            </w:r>
          </w:p>
        </w:tc>
        <w:tc>
          <w:tcPr>
            <w:tcW w:w="6998" w:type="dxa"/>
          </w:tcPr>
          <w:p w:rsidR="00BF6ACB" w:rsidRPr="003249D9" w:rsidRDefault="00AB7CFF" w:rsidP="00BF6ACB">
            <w:pPr>
              <w:pStyle w:val="TASBodytext"/>
              <w:rPr>
                <w:rFonts w:asciiTheme="minorHAnsi" w:hAnsiTheme="minorHAnsi"/>
              </w:rPr>
            </w:pPr>
            <w:r w:rsidRPr="003249D9">
              <w:rPr>
                <w:rFonts w:asciiTheme="minorHAnsi" w:hAnsiTheme="minorHAnsi"/>
              </w:rPr>
              <w:t>Egyesült Királyság</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Csődtörvény</w:t>
            </w:r>
          </w:p>
        </w:tc>
        <w:tc>
          <w:tcPr>
            <w:tcW w:w="6998" w:type="dxa"/>
          </w:tcPr>
          <w:p w:rsidR="00BF6ACB" w:rsidRPr="003249D9" w:rsidRDefault="00AB7CFF" w:rsidP="00BF6ACB">
            <w:pPr>
              <w:pStyle w:val="TASBodytext"/>
              <w:rPr>
                <w:rFonts w:asciiTheme="minorHAnsi" w:hAnsiTheme="minorHAnsi"/>
              </w:rPr>
            </w:pPr>
            <w:proofErr w:type="gramStart"/>
            <w:r w:rsidRPr="003249D9">
              <w:rPr>
                <w:rFonts w:asciiTheme="minorHAnsi" w:hAnsiTheme="minorHAnsi"/>
              </w:rPr>
              <w:t>alatt</w:t>
            </w:r>
            <w:proofErr w:type="gramEnd"/>
            <w:r w:rsidRPr="003249D9">
              <w:rPr>
                <w:rFonts w:asciiTheme="minorHAnsi" w:hAnsiTheme="minorHAnsi"/>
              </w:rPr>
              <w:t xml:space="preserve"> a csődeljárásról és a felszámolási eljárásról szóló (időről időre módosított) 1991. évi XLIX. törvény értendő.</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Polgári perrendtartásról szóló törvény</w:t>
            </w:r>
          </w:p>
        </w:tc>
        <w:tc>
          <w:tcPr>
            <w:tcW w:w="6998" w:type="dxa"/>
          </w:tcPr>
          <w:p w:rsidR="00BF6ACB" w:rsidRPr="003249D9" w:rsidRDefault="00AB7CFF" w:rsidP="00BF6ACB">
            <w:pPr>
              <w:pStyle w:val="TASBodytext"/>
              <w:rPr>
                <w:rFonts w:asciiTheme="minorHAnsi" w:hAnsiTheme="minorHAnsi"/>
              </w:rPr>
            </w:pPr>
            <w:proofErr w:type="gramStart"/>
            <w:r w:rsidRPr="003249D9">
              <w:rPr>
                <w:rFonts w:asciiTheme="minorHAnsi" w:hAnsiTheme="minorHAnsi"/>
              </w:rPr>
              <w:t>alatt</w:t>
            </w:r>
            <w:proofErr w:type="gramEnd"/>
            <w:r w:rsidRPr="003249D9">
              <w:rPr>
                <w:rFonts w:asciiTheme="minorHAnsi" w:hAnsiTheme="minorHAnsi"/>
              </w:rPr>
              <w:t xml:space="preserve"> a polgári perrendtartásról szóló (időről időre módosított) 1952. évi III. törvény értendő.</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A bírósági végrehajtásról szóló törvény</w:t>
            </w:r>
          </w:p>
        </w:tc>
        <w:tc>
          <w:tcPr>
            <w:tcW w:w="6998" w:type="dxa"/>
          </w:tcPr>
          <w:p w:rsidR="00BF6ACB" w:rsidRPr="003249D9" w:rsidRDefault="00AB7CFF" w:rsidP="00BF6ACB">
            <w:pPr>
              <w:pStyle w:val="TASBodytext"/>
              <w:rPr>
                <w:rFonts w:asciiTheme="minorHAnsi" w:hAnsiTheme="minorHAnsi"/>
              </w:rPr>
            </w:pPr>
            <w:proofErr w:type="gramStart"/>
            <w:r w:rsidRPr="003249D9">
              <w:rPr>
                <w:rFonts w:asciiTheme="minorHAnsi" w:hAnsiTheme="minorHAnsi"/>
              </w:rPr>
              <w:t>alatt</w:t>
            </w:r>
            <w:proofErr w:type="gramEnd"/>
            <w:r w:rsidRPr="003249D9">
              <w:rPr>
                <w:rFonts w:asciiTheme="minorHAnsi" w:hAnsiTheme="minorHAnsi"/>
              </w:rPr>
              <w:t xml:space="preserve"> a bírósági végrehajtásról szóló (időről időre módosított) 1994. évi LIII. törvény értendő.</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Új Polgári Törvénykönyv</w:t>
            </w:r>
          </w:p>
        </w:tc>
        <w:tc>
          <w:tcPr>
            <w:tcW w:w="6998" w:type="dxa"/>
          </w:tcPr>
          <w:p w:rsidR="00BF6ACB" w:rsidRPr="003249D9" w:rsidRDefault="00AB7CFF" w:rsidP="00BF6ACB">
            <w:pPr>
              <w:pStyle w:val="TASBodytext"/>
              <w:rPr>
                <w:rFonts w:asciiTheme="minorHAnsi" w:hAnsiTheme="minorHAnsi"/>
              </w:rPr>
            </w:pPr>
            <w:proofErr w:type="gramStart"/>
            <w:r w:rsidRPr="003249D9">
              <w:rPr>
                <w:rFonts w:asciiTheme="minorHAnsi" w:hAnsiTheme="minorHAnsi"/>
              </w:rPr>
              <w:t>alatt</w:t>
            </w:r>
            <w:proofErr w:type="gramEnd"/>
            <w:r w:rsidRPr="003249D9">
              <w:rPr>
                <w:rFonts w:asciiTheme="minorHAnsi" w:hAnsiTheme="minorHAnsi"/>
              </w:rPr>
              <w:t xml:space="preserve"> a Polgári Törvénykönyvről szóló (időről időre módosított) 2013. évi V. törvény értendő.</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lastRenderedPageBreak/>
              <w:t>régi Polgári Törvénykönyv</w:t>
            </w:r>
          </w:p>
        </w:tc>
        <w:tc>
          <w:tcPr>
            <w:tcW w:w="6998" w:type="dxa"/>
          </w:tcPr>
          <w:p w:rsidR="00BF6ACB" w:rsidRPr="003249D9" w:rsidRDefault="00AB7CFF" w:rsidP="00BF6ACB">
            <w:pPr>
              <w:pStyle w:val="TASBodytext"/>
              <w:rPr>
                <w:rFonts w:asciiTheme="minorHAnsi" w:hAnsiTheme="minorHAnsi"/>
              </w:rPr>
            </w:pPr>
            <w:proofErr w:type="gramStart"/>
            <w:r w:rsidRPr="003249D9">
              <w:rPr>
                <w:rFonts w:asciiTheme="minorHAnsi" w:hAnsiTheme="minorHAnsi"/>
              </w:rPr>
              <w:t>alatt</w:t>
            </w:r>
            <w:proofErr w:type="gramEnd"/>
            <w:r w:rsidRPr="003249D9">
              <w:rPr>
                <w:rFonts w:asciiTheme="minorHAnsi" w:hAnsiTheme="minorHAnsi"/>
              </w:rPr>
              <w:t xml:space="preserve"> a Polgári Törvénykönyvről szóló (időről időre módosított) 1959. évi IV. törvény értendő.</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Projekt</w:t>
            </w:r>
          </w:p>
        </w:tc>
        <w:tc>
          <w:tcPr>
            <w:tcW w:w="6998" w:type="dxa"/>
          </w:tcPr>
          <w:p w:rsidR="00BF6ACB" w:rsidRPr="003249D9" w:rsidRDefault="00AB7CFF" w:rsidP="00BF6ACB">
            <w:pPr>
              <w:pStyle w:val="TASBodytext"/>
              <w:rPr>
                <w:rFonts w:asciiTheme="minorHAnsi" w:hAnsiTheme="minorHAnsi"/>
              </w:rPr>
            </w:pPr>
            <w:proofErr w:type="gramStart"/>
            <w:r w:rsidRPr="003249D9">
              <w:rPr>
                <w:rFonts w:asciiTheme="minorHAnsi" w:hAnsiTheme="minorHAnsi"/>
              </w:rPr>
              <w:t>alatt</w:t>
            </w:r>
            <w:proofErr w:type="gramEnd"/>
            <w:r w:rsidRPr="003249D9">
              <w:rPr>
                <w:rFonts w:asciiTheme="minorHAnsi" w:hAnsiTheme="minorHAnsi"/>
              </w:rPr>
              <w:t xml:space="preserve"> a magyarországi vállalati hitel </w:t>
            </w:r>
            <w:proofErr w:type="spellStart"/>
            <w:r w:rsidRPr="003249D9">
              <w:rPr>
                <w:rFonts w:asciiTheme="minorHAnsi" w:hAnsiTheme="minorHAnsi"/>
              </w:rPr>
              <w:t>restrukturálási</w:t>
            </w:r>
            <w:proofErr w:type="spellEnd"/>
            <w:r w:rsidRPr="003249D9">
              <w:rPr>
                <w:rFonts w:asciiTheme="minorHAnsi" w:hAnsiTheme="minorHAnsi"/>
              </w:rPr>
              <w:t xml:space="preserve"> és felszámolási környezetről készített elemzéssel kapcsolatos EBRD-projekt értendő.</w:t>
            </w:r>
          </w:p>
        </w:tc>
      </w:tr>
      <w:tr w:rsidR="00BF6ACB" w:rsidRPr="003249D9" w:rsidTr="00BF6ACB">
        <w:trPr>
          <w:cantSplit/>
        </w:trPr>
        <w:tc>
          <w:tcPr>
            <w:tcW w:w="3541" w:type="dxa"/>
          </w:tcPr>
          <w:p w:rsidR="00BF6ACB" w:rsidRPr="003249D9" w:rsidRDefault="00AB7CFF" w:rsidP="00BF6ACB">
            <w:pPr>
              <w:pStyle w:val="TASTextheading1"/>
              <w:rPr>
                <w:rFonts w:asciiTheme="minorHAnsi" w:hAnsiTheme="minorHAnsi"/>
              </w:rPr>
            </w:pPr>
            <w:r w:rsidRPr="003249D9">
              <w:rPr>
                <w:rFonts w:asciiTheme="minorHAnsi" w:hAnsiTheme="minorHAnsi"/>
              </w:rPr>
              <w:t>Jelentés</w:t>
            </w:r>
          </w:p>
        </w:tc>
        <w:tc>
          <w:tcPr>
            <w:tcW w:w="6998" w:type="dxa"/>
          </w:tcPr>
          <w:p w:rsidR="00BF6ACB" w:rsidRPr="003249D9" w:rsidRDefault="00AB7CFF" w:rsidP="00BF6ACB">
            <w:pPr>
              <w:pStyle w:val="TASBodytext"/>
              <w:rPr>
                <w:rFonts w:asciiTheme="minorHAnsi" w:hAnsiTheme="minorHAnsi"/>
              </w:rPr>
            </w:pPr>
            <w:proofErr w:type="gramStart"/>
            <w:r w:rsidRPr="003249D9">
              <w:rPr>
                <w:rFonts w:asciiTheme="minorHAnsi" w:hAnsiTheme="minorHAnsi"/>
              </w:rPr>
              <w:t>alatt</w:t>
            </w:r>
            <w:proofErr w:type="gramEnd"/>
            <w:r w:rsidRPr="003249D9">
              <w:rPr>
                <w:rFonts w:asciiTheme="minorHAnsi" w:hAnsiTheme="minorHAnsi"/>
              </w:rPr>
              <w:t xml:space="preserve"> a Projekttel kapcsolatos jelen „fehér könyv” jelentés értendő.</w:t>
            </w:r>
          </w:p>
        </w:tc>
      </w:tr>
    </w:tbl>
    <w:p w:rsidR="00BF6ACB" w:rsidRPr="003249D9" w:rsidRDefault="00BF6ACB">
      <w:pPr>
        <w:pStyle w:val="TASBodytext"/>
        <w:rPr>
          <w:rFonts w:asciiTheme="minorHAnsi" w:hAnsiTheme="minorHAnsi"/>
        </w:rPr>
      </w:pPr>
    </w:p>
    <w:sectPr w:rsidR="00BF6ACB" w:rsidRPr="003249D9" w:rsidSect="00BF6ACB">
      <w:headerReference w:type="default" r:id="rId92"/>
      <w:footerReference w:type="default" r:id="rId93"/>
      <w:pgSz w:w="11907" w:h="16839" w:code="9"/>
      <w:pgMar w:top="2304" w:right="792" w:bottom="1022" w:left="792" w:header="605" w:footer="70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6E7" w:rsidRDefault="00FD06E7" w:rsidP="00F46719">
      <w:r>
        <w:separator/>
      </w:r>
    </w:p>
  </w:endnote>
  <w:endnote w:type="continuationSeparator" w:id="0">
    <w:p w:rsidR="00FD06E7" w:rsidRDefault="00FD06E7" w:rsidP="00F46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10002FF" w:usb1="4000ACFF" w:usb2="00000009" w:usb3="00000000" w:csb0="0000019F" w:csb1="00000000"/>
  </w:font>
  <w:font w:name="EYInterstate Light">
    <w:altName w:val="Vodafone Lt"/>
    <w:panose1 w:val="02000506000000020004"/>
    <w:charset w:val="EE"/>
    <w:family w:val="auto"/>
    <w:pitch w:val="variable"/>
    <w:sig w:usb0="A00002AF" w:usb1="5000206A" w:usb2="00000000" w:usb3="00000000" w:csb0="0000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EY Tagline">
    <w:altName w:val="Courier New"/>
    <w:panose1 w:val="02000400000000000000"/>
    <w:charset w:val="EE"/>
    <w:family w:val="auto"/>
    <w:pitch w:val="variable"/>
    <w:sig w:usb0="00000003"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4E468D">
    <w:pPr>
      <w:pStyle w:val="TASFooterpagenumA4port"/>
      <w:framePr w:wrap="around"/>
    </w:pPr>
    <w:r>
      <w:fldChar w:fldCharType="begin"/>
    </w:r>
    <w:r>
      <w:instrText xml:space="preserve"> PAGE   \* MERGEFORMAT </w:instrText>
    </w:r>
    <w:r>
      <w:fldChar w:fldCharType="separate"/>
    </w:r>
    <w:r w:rsidR="003477BD">
      <w:rPr>
        <w:noProof/>
      </w:rPr>
      <w:t>29</w:t>
    </w:r>
    <w:r>
      <w:fldChar w:fldCharType="end"/>
    </w:r>
  </w:p>
  <w:sdt>
    <w:sdtPr>
      <w:alias w:val="CAReportDate"/>
      <w:tag w:val="CAReportDate"/>
      <w:id w:val="-347491795"/>
      <w:showingPlcHdr/>
      <w:text/>
    </w:sdtPr>
    <w:sdtContent>
      <w:p w:rsidR="002D610B" w:rsidRDefault="002D610B" w:rsidP="004E468D">
        <w:pPr>
          <w:pStyle w:val="TASFooterdatefieldA4port"/>
          <w:framePr w:wrap="around"/>
        </w:pPr>
        <w:r>
          <w:t xml:space="preserve">     </w:t>
        </w:r>
      </w:p>
    </w:sdtContent>
  </w:sdt>
  <w:sdt>
    <w:sdtPr>
      <w:alias w:val="CADraft"/>
      <w:tag w:val="CADraft"/>
      <w:id w:val="-969507262"/>
      <w:showingPlcHdr/>
      <w:text/>
    </w:sdtPr>
    <w:sdtContent>
      <w:p w:rsidR="002D610B" w:rsidRPr="00057D56" w:rsidRDefault="002D610B" w:rsidP="004E468D">
        <w:pPr>
          <w:pStyle w:val="TASFooterdraftA4port"/>
          <w:framePr w:wrap="around"/>
        </w:pPr>
        <w:r>
          <w:t xml:space="preserve">     </w:t>
        </w:r>
      </w:p>
    </w:sdtContent>
  </w:sdt>
  <w:p w:rsidR="002D610B" w:rsidRDefault="002D610B" w:rsidP="004E468D">
    <w:pPr>
      <w:pStyle w:val="TASFooterlogoA4port"/>
      <w:framePr w:wrap="around"/>
    </w:pPr>
  </w:p>
  <w:p w:rsidR="002D610B" w:rsidRPr="00944F86" w:rsidRDefault="002D610B" w:rsidP="004E468D">
    <w:pPr>
      <w:pStyle w:val="TAS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FooterpagenumA4port"/>
      <w:framePr w:wrap="around"/>
    </w:pPr>
    <w:r>
      <w:fldChar w:fldCharType="begin"/>
    </w:r>
    <w:r>
      <w:instrText xml:space="preserve"> PAGE   \* MERGEFORMAT </w:instrText>
    </w:r>
    <w:r>
      <w:fldChar w:fldCharType="separate"/>
    </w:r>
    <w:r w:rsidR="003477BD">
      <w:rPr>
        <w:noProof/>
      </w:rPr>
      <w:t>30</w:t>
    </w:r>
    <w:r>
      <w:rPr>
        <w:noProof/>
      </w:rPr>
      <w:fldChar w:fldCharType="end"/>
    </w:r>
  </w:p>
  <w:sdt>
    <w:sdtPr>
      <w:alias w:val="CAReportDate"/>
      <w:tag w:val="CAReportDate"/>
      <w:id w:val="1001090616"/>
      <w:showingPlcHdr/>
      <w:text/>
    </w:sdtPr>
    <w:sdtContent>
      <w:p w:rsidR="002D610B" w:rsidRDefault="002D610B" w:rsidP="00BF6ACB">
        <w:pPr>
          <w:pStyle w:val="TASFooterdatefieldA4port"/>
          <w:framePr w:wrap="around"/>
        </w:pPr>
        <w:r>
          <w:t xml:space="preserve">     </w:t>
        </w:r>
      </w:p>
    </w:sdtContent>
  </w:sdt>
  <w:sdt>
    <w:sdtPr>
      <w:alias w:val="CADraft"/>
      <w:tag w:val="CADraft"/>
      <w:id w:val="-1499646071"/>
      <w:showingPlcHdr/>
      <w:text/>
    </w:sdtPr>
    <w:sdtContent>
      <w:p w:rsidR="002D610B" w:rsidRPr="00057D56" w:rsidRDefault="002D610B" w:rsidP="00BF6ACB">
        <w:pPr>
          <w:pStyle w:val="TASFooterdraftA4port"/>
          <w:framePr w:wrap="around"/>
        </w:pPr>
        <w:r>
          <w:t xml:space="preserve">     </w:t>
        </w:r>
      </w:p>
    </w:sdtContent>
  </w:sdt>
  <w:p w:rsidR="002D610B" w:rsidRDefault="002D610B" w:rsidP="00BF6ACB">
    <w:pPr>
      <w:pStyle w:val="TASFooterlogoA4port"/>
      <w:framePr w:wrap="around"/>
    </w:pPr>
  </w:p>
  <w:p w:rsidR="002D610B" w:rsidRPr="00944F86" w:rsidRDefault="002D610B" w:rsidP="00BF6ACB">
    <w:pPr>
      <w:pStyle w:val="TAS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r>
      <w:fldChar w:fldCharType="begin"/>
    </w:r>
    <w:r>
      <w:instrText xml:space="preserve"> PAGE   \* MERGEFORMAT </w:instrText>
    </w:r>
    <w:r>
      <w:fldChar w:fldCharType="separate"/>
    </w:r>
    <w:r>
      <w:rPr>
        <w:noProof/>
      </w:rPr>
      <w:t>91</w:t>
    </w:r>
    <w:r>
      <w:fldChar w:fldCharType="end"/>
    </w:r>
    <w:r>
      <w:tab/>
    </w:r>
    <w:r>
      <w:fldChar w:fldCharType="begin"/>
    </w:r>
    <w:r>
      <w:instrText xml:space="preserve"> DATE  \@ "d MMMM yyyy"  \* MERGEFORMAT </w:instrText>
    </w:r>
    <w:r>
      <w:fldChar w:fldCharType="separate"/>
    </w:r>
    <w:r>
      <w:rPr>
        <w:noProof/>
      </w:rPr>
      <w:t>19 november 2014</w:t>
    </w:r>
    <w:r>
      <w:fldChar w:fldCharType="end"/>
    </w:r>
    <w:r>
      <w:tab/>
      <w:t xml:space="preserve">DRAFT – </w:t>
    </w:r>
    <w:proofErr w:type="spellStart"/>
    <w:r>
      <w:t>Footer</w:t>
    </w:r>
    <w:proofErr w:type="spellEnd"/>
    <w:r>
      <w:t xml:space="preserve"> </w:t>
    </w:r>
    <w:proofErr w:type="spellStart"/>
    <w:r>
      <w:t>Arial</w:t>
    </w:r>
    <w:proofErr w:type="spellEnd"/>
    <w:r>
      <w:t xml:space="preserve"> 8pt {</w:t>
    </w:r>
    <w:proofErr w:type="spellStart"/>
    <w:r>
      <w:t>Style</w:t>
    </w:r>
    <w:proofErr w:type="spellEnd"/>
    <w:r>
      <w:t xml:space="preserve"> TAS </w:t>
    </w:r>
    <w:proofErr w:type="spellStart"/>
    <w:r>
      <w:t>Footer</w:t>
    </w:r>
    <w:proofErr w:type="spellEnd"/>
    <w:r>
      <w:t>}</w:t>
    </w:r>
  </w:p>
  <w:p w:rsidR="002D610B" w:rsidRDefault="002D610B" w:rsidP="00BF6ACB">
    <w:r>
      <w:rPr>
        <w:noProof/>
        <w:lang w:bidi="ar-SA"/>
      </w:rPr>
      <w:drawing>
        <wp:anchor distT="0" distB="0" distL="114300" distR="114300" simplePos="0" relativeHeight="251656192" behindDoc="0" locked="1" layoutInCell="1" allowOverlap="1" wp14:anchorId="28A368AB" wp14:editId="1FF32484">
          <wp:simplePos x="0" y="0"/>
          <wp:positionH relativeFrom="page">
            <wp:posOffset>9079865</wp:posOffset>
          </wp:positionH>
          <wp:positionV relativeFrom="page">
            <wp:posOffset>6986270</wp:posOffset>
          </wp:positionV>
          <wp:extent cx="1485900" cy="355600"/>
          <wp:effectExtent l="19050" t="0" r="0" b="0"/>
          <wp:wrapNone/>
          <wp:docPr id="20" name="Picture 1" descr="logo_black-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lack-white"/>
                  <pic:cNvPicPr>
                    <a:picLocks noChangeAspect="1" noChangeArrowheads="1"/>
                  </pic:cNvPicPr>
                </pic:nvPicPr>
                <pic:blipFill>
                  <a:blip r:embed="rId1"/>
                  <a:stretch>
                    <a:fillRect/>
                  </a:stretch>
                </pic:blipFill>
                <pic:spPr bwMode="auto">
                  <a:xfrm>
                    <a:off x="0" y="0"/>
                    <a:ext cx="1485900" cy="355600"/>
                  </a:xfrm>
                  <a:prstGeom prst="rect">
                    <a:avLst/>
                  </a:prstGeom>
                  <a:noFill/>
                </pic:spPr>
              </pic:pic>
            </a:graphicData>
          </a:graphic>
        </wp:anchor>
      </w:drawing>
    </w:r>
    <w:r>
      <w:tab/>
    </w:r>
    <w:fldSimple w:instr=" FILENAME  \* Caps  \* MERGEFORMAT ">
      <w:r>
        <w:rPr>
          <w:noProof/>
        </w:rPr>
        <w:t>195309_2.Docx</w:t>
      </w:r>
    </w:fldSimple>
    <w:r>
      <w:tab/>
      <w:t>Korlátozott kiadás</w:t>
    </w:r>
  </w:p>
  <w:p w:rsidR="002D610B" w:rsidRDefault="002D610B"/>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FooterpagenumA4port"/>
      <w:framePr w:wrap="around"/>
    </w:pPr>
    <w:r>
      <w:fldChar w:fldCharType="begin"/>
    </w:r>
    <w:r>
      <w:instrText xml:space="preserve"> PAGE   \* MERGEFORMAT </w:instrText>
    </w:r>
    <w:r>
      <w:fldChar w:fldCharType="separate"/>
    </w:r>
    <w:r w:rsidR="003477BD">
      <w:rPr>
        <w:noProof/>
      </w:rPr>
      <w:t>32</w:t>
    </w:r>
    <w:r>
      <w:fldChar w:fldCharType="end"/>
    </w:r>
  </w:p>
  <w:p w:rsidR="002D610B" w:rsidRDefault="002D610B" w:rsidP="00BF6ACB">
    <w:pPr>
      <w:pStyle w:val="TASFooterdraftA4port"/>
      <w:framePr w:wrap="around"/>
    </w:pPr>
  </w:p>
  <w:p w:rsidR="002D610B" w:rsidRPr="00057D56" w:rsidRDefault="002D610B" w:rsidP="00BF6ACB">
    <w:pPr>
      <w:pStyle w:val="TASFooterdraftA4port"/>
      <w:framePr w:wrap="around"/>
    </w:pPr>
    <w:sdt>
      <w:sdtPr>
        <w:alias w:val="CADraft"/>
        <w:tag w:val="CADraft"/>
        <w:id w:val="-1268923683"/>
        <w:showingPlcHdr/>
        <w:text/>
      </w:sdtPr>
      <w:sdtContent>
        <w:r>
          <w:t xml:space="preserve">     </w:t>
        </w:r>
      </w:sdtContent>
    </w:sdt>
  </w:p>
  <w:p w:rsidR="002D610B" w:rsidRDefault="002D610B" w:rsidP="00BF6ACB">
    <w:pPr>
      <w:pStyle w:val="TASFooterlogoA4port"/>
      <w:framePr w:wrap="around"/>
    </w:pPr>
  </w:p>
  <w:p w:rsidR="002D610B" w:rsidRPr="00944F86" w:rsidRDefault="002D610B" w:rsidP="00BF6ACB">
    <w:pPr>
      <w:pStyle w:val="TAS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FooterpagenumA4port"/>
      <w:framePr w:wrap="around"/>
    </w:pPr>
    <w:r>
      <w:fldChar w:fldCharType="begin"/>
    </w:r>
    <w:r>
      <w:instrText xml:space="preserve"> PAGE   \* MERGEFORMAT </w:instrText>
    </w:r>
    <w:r>
      <w:fldChar w:fldCharType="separate"/>
    </w:r>
    <w:r w:rsidR="003477BD">
      <w:rPr>
        <w:noProof/>
      </w:rPr>
      <w:t>33</w:t>
    </w:r>
    <w:r>
      <w:fldChar w:fldCharType="end"/>
    </w:r>
  </w:p>
  <w:sdt>
    <w:sdtPr>
      <w:alias w:val="CAReportDate"/>
      <w:tag w:val="CAReportDate"/>
      <w:id w:val="140165416"/>
      <w:showingPlcHdr/>
      <w:text/>
    </w:sdtPr>
    <w:sdtContent>
      <w:p w:rsidR="002D610B" w:rsidRDefault="002D610B" w:rsidP="00BF6ACB">
        <w:pPr>
          <w:pStyle w:val="TASFooterdatefieldA4port"/>
          <w:framePr w:wrap="around"/>
        </w:pPr>
        <w:r>
          <w:t xml:space="preserve">     </w:t>
        </w:r>
      </w:p>
    </w:sdtContent>
  </w:sdt>
  <w:p w:rsidR="002D610B" w:rsidRPr="00057D56" w:rsidRDefault="002D610B" w:rsidP="00540363">
    <w:pPr>
      <w:pStyle w:val="TASFooterdraftA4port"/>
      <w:framePr w:wrap="around"/>
      <w:jc w:val="left"/>
    </w:pPr>
  </w:p>
  <w:p w:rsidR="002D610B" w:rsidRDefault="002D610B" w:rsidP="00BF6ACB">
    <w:pPr>
      <w:pStyle w:val="TASFooterlogoA4port"/>
      <w:framePr w:wrap="around"/>
    </w:pPr>
  </w:p>
  <w:p w:rsidR="002D610B" w:rsidRPr="00944F86" w:rsidRDefault="002D610B" w:rsidP="00BF6ACB">
    <w:pPr>
      <w:pStyle w:val="TAS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FooterpagenumA4port"/>
      <w:framePr w:wrap="around"/>
    </w:pPr>
    <w:r>
      <w:fldChar w:fldCharType="begin"/>
    </w:r>
    <w:r>
      <w:instrText xml:space="preserve"> PAGE   \* MERGEFORMAT </w:instrText>
    </w:r>
    <w:r>
      <w:fldChar w:fldCharType="separate"/>
    </w:r>
    <w:r w:rsidR="003477BD">
      <w:rPr>
        <w:noProof/>
      </w:rPr>
      <w:t>35</w:t>
    </w:r>
    <w:r>
      <w:fldChar w:fldCharType="end"/>
    </w:r>
  </w:p>
  <w:sdt>
    <w:sdtPr>
      <w:alias w:val="CAReportDate"/>
      <w:tag w:val="CAReportDate"/>
      <w:id w:val="-1988780525"/>
      <w:showingPlcHdr/>
      <w:text/>
    </w:sdtPr>
    <w:sdtContent>
      <w:p w:rsidR="002D610B" w:rsidRDefault="002D610B" w:rsidP="00BF6ACB">
        <w:pPr>
          <w:pStyle w:val="TASFooterdatefieldA4port"/>
          <w:framePr w:wrap="around"/>
        </w:pPr>
        <w:r>
          <w:t xml:space="preserve">     </w:t>
        </w:r>
      </w:p>
    </w:sdtContent>
  </w:sdt>
  <w:sdt>
    <w:sdtPr>
      <w:alias w:val="CADraft"/>
      <w:tag w:val="CADraft"/>
      <w:id w:val="-1472359133"/>
      <w:showingPlcHdr/>
      <w:text/>
    </w:sdtPr>
    <w:sdtContent>
      <w:p w:rsidR="002D610B" w:rsidRPr="00057D56" w:rsidRDefault="002D610B" w:rsidP="00BF6ACB">
        <w:pPr>
          <w:pStyle w:val="TASFooterdraftA4port"/>
          <w:framePr w:wrap="around"/>
        </w:pPr>
        <w:r>
          <w:t xml:space="preserve">     </w:t>
        </w:r>
      </w:p>
    </w:sdtContent>
  </w:sdt>
  <w:p w:rsidR="002D610B" w:rsidRDefault="002D610B" w:rsidP="00BF6ACB">
    <w:pPr>
      <w:pStyle w:val="TASFooterlogoA4port"/>
      <w:framePr w:wrap="around"/>
    </w:pPr>
  </w:p>
  <w:p w:rsidR="002D610B" w:rsidRPr="00944F86" w:rsidRDefault="002D610B" w:rsidP="00BF6ACB">
    <w:pPr>
      <w:pStyle w:val="TAS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FooterpagenumA4port"/>
      <w:framePr w:wrap="around"/>
    </w:pPr>
    <w:r>
      <w:fldChar w:fldCharType="begin"/>
    </w:r>
    <w:r>
      <w:instrText xml:space="preserve"> PAGE   \* MERGEFORMAT </w:instrText>
    </w:r>
    <w:r>
      <w:fldChar w:fldCharType="separate"/>
    </w:r>
    <w:r w:rsidR="003477BD">
      <w:rPr>
        <w:noProof/>
      </w:rPr>
      <w:t>37</w:t>
    </w:r>
    <w:r>
      <w:fldChar w:fldCharType="end"/>
    </w:r>
  </w:p>
  <w:sdt>
    <w:sdtPr>
      <w:alias w:val="CAReportDate"/>
      <w:tag w:val="CAReportDate"/>
      <w:id w:val="-1278029146"/>
      <w:showingPlcHdr/>
      <w:text/>
    </w:sdtPr>
    <w:sdtContent>
      <w:p w:rsidR="002D610B" w:rsidRDefault="002D610B" w:rsidP="00BF6ACB">
        <w:pPr>
          <w:pStyle w:val="TASFooterdatefieldA4port"/>
          <w:framePr w:wrap="around"/>
        </w:pPr>
        <w:r>
          <w:t xml:space="preserve">     </w:t>
        </w:r>
      </w:p>
    </w:sdtContent>
  </w:sdt>
  <w:sdt>
    <w:sdtPr>
      <w:alias w:val="CADraft"/>
      <w:tag w:val="CADraft"/>
      <w:id w:val="-2008732203"/>
      <w:showingPlcHdr/>
      <w:text/>
    </w:sdtPr>
    <w:sdtContent>
      <w:p w:rsidR="002D610B" w:rsidRPr="00057D56" w:rsidRDefault="002D610B" w:rsidP="00BF6ACB">
        <w:pPr>
          <w:pStyle w:val="TASFooterdraftA4port"/>
          <w:framePr w:wrap="around"/>
        </w:pPr>
        <w:r>
          <w:t xml:space="preserve">     </w:t>
        </w:r>
      </w:p>
    </w:sdtContent>
  </w:sdt>
  <w:p w:rsidR="002D610B" w:rsidRDefault="002D610B" w:rsidP="00BF6ACB">
    <w:pPr>
      <w:pStyle w:val="TASFooterlogoA4port"/>
      <w:framePr w:wrap="around"/>
    </w:pPr>
  </w:p>
  <w:p w:rsidR="002D610B" w:rsidRPr="00944F86" w:rsidRDefault="002D610B" w:rsidP="00BF6ACB">
    <w:pPr>
      <w:pStyle w:val="TAS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FooterpagenumA4port"/>
      <w:framePr w:wrap="around"/>
    </w:pPr>
    <w:r>
      <w:fldChar w:fldCharType="begin"/>
    </w:r>
    <w:r>
      <w:instrText xml:space="preserve"> PAGE   \* MERGEFORMAT </w:instrText>
    </w:r>
    <w:r>
      <w:fldChar w:fldCharType="separate"/>
    </w:r>
    <w:r w:rsidR="003477BD">
      <w:rPr>
        <w:noProof/>
      </w:rPr>
      <w:t>38</w:t>
    </w:r>
    <w:r>
      <w:fldChar w:fldCharType="end"/>
    </w:r>
  </w:p>
  <w:sdt>
    <w:sdtPr>
      <w:alias w:val="CAReportDate"/>
      <w:tag w:val="CAReportDate"/>
      <w:id w:val="662446210"/>
      <w:showingPlcHdr/>
      <w:text/>
    </w:sdtPr>
    <w:sdtContent>
      <w:p w:rsidR="002D610B" w:rsidRDefault="002D610B" w:rsidP="00BF6ACB">
        <w:pPr>
          <w:pStyle w:val="TASFooterdatefieldA4port"/>
          <w:framePr w:wrap="around"/>
        </w:pPr>
        <w:r>
          <w:t xml:space="preserve">     </w:t>
        </w:r>
      </w:p>
    </w:sdtContent>
  </w:sdt>
  <w:p w:rsidR="002D610B" w:rsidRPr="00057D56" w:rsidRDefault="002D610B" w:rsidP="00540363">
    <w:pPr>
      <w:pStyle w:val="TASFooterdraftA4port"/>
      <w:framePr w:wrap="around"/>
      <w:jc w:val="left"/>
    </w:pPr>
  </w:p>
  <w:p w:rsidR="002D610B" w:rsidRDefault="002D610B" w:rsidP="00BF6ACB">
    <w:pPr>
      <w:pStyle w:val="TASFooterlogoA4port"/>
      <w:framePr w:wrap="around"/>
    </w:pPr>
  </w:p>
  <w:p w:rsidR="002D610B" w:rsidRPr="00944F86" w:rsidRDefault="002D610B" w:rsidP="00BF6ACB">
    <w:pPr>
      <w:pStyle w:val="TAS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FooterpagenumA4port"/>
      <w:framePr w:wrap="around"/>
    </w:pPr>
    <w:r>
      <w:fldChar w:fldCharType="begin"/>
    </w:r>
    <w:r>
      <w:instrText xml:space="preserve"> PAGE   \* MERGEFORMAT </w:instrText>
    </w:r>
    <w:r>
      <w:fldChar w:fldCharType="separate"/>
    </w:r>
    <w:r w:rsidR="007206FC">
      <w:rPr>
        <w:noProof/>
      </w:rPr>
      <w:t>41</w:t>
    </w:r>
    <w:r>
      <w:fldChar w:fldCharType="end"/>
    </w:r>
  </w:p>
  <w:sdt>
    <w:sdtPr>
      <w:alias w:val="CAReportDate"/>
      <w:tag w:val="CAReportDate"/>
      <w:id w:val="630988495"/>
      <w:showingPlcHdr/>
      <w:text/>
    </w:sdtPr>
    <w:sdtContent>
      <w:p w:rsidR="002D610B" w:rsidRDefault="002D610B" w:rsidP="00BF6ACB">
        <w:pPr>
          <w:pStyle w:val="TASFooterdatefieldA4port"/>
          <w:framePr w:wrap="around"/>
        </w:pPr>
        <w:r>
          <w:t xml:space="preserve">     </w:t>
        </w:r>
      </w:p>
    </w:sdtContent>
  </w:sdt>
  <w:sdt>
    <w:sdtPr>
      <w:alias w:val="CADraft"/>
      <w:tag w:val="CADraft"/>
      <w:id w:val="1090665426"/>
      <w:showingPlcHdr/>
      <w:text/>
    </w:sdtPr>
    <w:sdtContent>
      <w:p w:rsidR="002D610B" w:rsidRPr="00057D56" w:rsidRDefault="002D610B" w:rsidP="00BF6ACB">
        <w:pPr>
          <w:pStyle w:val="TASFooterdraftA4port"/>
          <w:framePr w:wrap="around"/>
        </w:pPr>
        <w:r>
          <w:t xml:space="preserve">     </w:t>
        </w:r>
      </w:p>
    </w:sdtContent>
  </w:sdt>
  <w:p w:rsidR="002D610B" w:rsidRDefault="002D610B" w:rsidP="00BF6ACB">
    <w:pPr>
      <w:pStyle w:val="TASFooterlogoA4port"/>
      <w:framePr w:wrap="around"/>
    </w:pPr>
  </w:p>
  <w:p w:rsidR="002D610B" w:rsidRPr="00944F86" w:rsidRDefault="002D610B" w:rsidP="00BF6ACB">
    <w:pPr>
      <w:pStyle w:val="TAS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FooterpagenumA4port"/>
      <w:framePr w:wrap="around"/>
    </w:pPr>
    <w:r>
      <w:fldChar w:fldCharType="begin"/>
    </w:r>
    <w:r>
      <w:instrText xml:space="preserve"> PAGE   \* MERGEFORMAT </w:instrText>
    </w:r>
    <w:r>
      <w:fldChar w:fldCharType="separate"/>
    </w:r>
    <w:r w:rsidR="007206FC">
      <w:rPr>
        <w:noProof/>
      </w:rPr>
      <w:t>44</w:t>
    </w:r>
    <w:r>
      <w:fldChar w:fldCharType="end"/>
    </w:r>
  </w:p>
  <w:sdt>
    <w:sdtPr>
      <w:alias w:val="CAReportDate"/>
      <w:tag w:val="CAReportDate"/>
      <w:id w:val="-89241750"/>
      <w:showingPlcHdr/>
      <w:text/>
    </w:sdtPr>
    <w:sdtContent>
      <w:p w:rsidR="002D610B" w:rsidRDefault="002D610B" w:rsidP="00BF6ACB">
        <w:pPr>
          <w:pStyle w:val="TASFooterdatefieldA4port"/>
          <w:framePr w:wrap="around"/>
        </w:pPr>
        <w:r>
          <w:t xml:space="preserve">     </w:t>
        </w:r>
      </w:p>
    </w:sdtContent>
  </w:sdt>
  <w:sdt>
    <w:sdtPr>
      <w:alias w:val="CADraft"/>
      <w:tag w:val="CADraft"/>
      <w:id w:val="-103501097"/>
      <w:showingPlcHdr/>
      <w:text/>
    </w:sdtPr>
    <w:sdtContent>
      <w:p w:rsidR="002D610B" w:rsidRPr="00057D56" w:rsidRDefault="002D610B" w:rsidP="00BF6ACB">
        <w:pPr>
          <w:pStyle w:val="TASFooterdraftA4port"/>
          <w:framePr w:wrap="around"/>
        </w:pPr>
        <w:r>
          <w:t xml:space="preserve">     </w:t>
        </w:r>
      </w:p>
    </w:sdtContent>
  </w:sdt>
  <w:p w:rsidR="002D610B" w:rsidRDefault="002D610B" w:rsidP="00BF6ACB">
    <w:pPr>
      <w:pStyle w:val="TASFooterlogoA4port"/>
      <w:framePr w:wrap="around"/>
    </w:pPr>
  </w:p>
  <w:p w:rsidR="002D610B" w:rsidRPr="00944F86" w:rsidRDefault="002D610B" w:rsidP="00BF6ACB">
    <w:pPr>
      <w:pStyle w:val="TAS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FooterpagenumA4port"/>
      <w:framePr w:wrap="around"/>
    </w:pPr>
    <w:r>
      <w:fldChar w:fldCharType="begin"/>
    </w:r>
    <w:r>
      <w:instrText xml:space="preserve"> PAGE   \* MERGEFORMAT </w:instrText>
    </w:r>
    <w:r>
      <w:fldChar w:fldCharType="separate"/>
    </w:r>
    <w:r w:rsidR="007206FC">
      <w:rPr>
        <w:noProof/>
      </w:rPr>
      <w:t>45</w:t>
    </w:r>
    <w:r>
      <w:rPr>
        <w:noProof/>
      </w:rPr>
      <w:fldChar w:fldCharType="end"/>
    </w:r>
  </w:p>
  <w:sdt>
    <w:sdtPr>
      <w:alias w:val="CAReportDate"/>
      <w:tag w:val="CAReportDate"/>
      <w:id w:val="793559591"/>
      <w:showingPlcHdr/>
      <w:text/>
    </w:sdtPr>
    <w:sdtContent>
      <w:p w:rsidR="002D610B" w:rsidRDefault="002D610B" w:rsidP="00BF6ACB">
        <w:pPr>
          <w:pStyle w:val="TASFooterdatefieldA4port"/>
          <w:framePr w:wrap="around"/>
        </w:pPr>
        <w:r>
          <w:t xml:space="preserve">     </w:t>
        </w:r>
      </w:p>
    </w:sdtContent>
  </w:sdt>
  <w:sdt>
    <w:sdtPr>
      <w:alias w:val="CADraft"/>
      <w:tag w:val="CADraft"/>
      <w:id w:val="-1109113257"/>
      <w:showingPlcHdr/>
      <w:text/>
    </w:sdtPr>
    <w:sdtContent>
      <w:p w:rsidR="002D610B" w:rsidRPr="00057D56" w:rsidRDefault="002D610B" w:rsidP="00BF6ACB">
        <w:pPr>
          <w:pStyle w:val="TASFooterdraftA4port"/>
          <w:framePr w:wrap="around"/>
        </w:pPr>
        <w:r>
          <w:t xml:space="preserve">     </w:t>
        </w:r>
      </w:p>
    </w:sdtContent>
  </w:sdt>
  <w:p w:rsidR="002D610B" w:rsidRDefault="002D610B" w:rsidP="00BF6ACB">
    <w:pPr>
      <w:pStyle w:val="TASFooterlogoA4port"/>
      <w:framePr w:wrap="around"/>
    </w:pPr>
  </w:p>
  <w:p w:rsidR="002D610B" w:rsidRPr="00944F86" w:rsidRDefault="002D610B" w:rsidP="00BF6ACB">
    <w:pPr>
      <w:pStyle w:val="TAS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r>
      <w:fldChar w:fldCharType="begin"/>
    </w:r>
    <w:r>
      <w:instrText xml:space="preserve"> PAGE   \* MERGEFORMAT </w:instrText>
    </w:r>
    <w:r>
      <w:fldChar w:fldCharType="separate"/>
    </w:r>
    <w:r>
      <w:rPr>
        <w:noProof/>
      </w:rPr>
      <w:t>91</w:t>
    </w:r>
    <w:r>
      <w:fldChar w:fldCharType="end"/>
    </w:r>
    <w:r>
      <w:tab/>
    </w:r>
    <w:r>
      <w:fldChar w:fldCharType="begin"/>
    </w:r>
    <w:r>
      <w:instrText xml:space="preserve"> DATE  \@ "d MMMM yyyy"  \* MERGEFORMAT </w:instrText>
    </w:r>
    <w:r>
      <w:fldChar w:fldCharType="separate"/>
    </w:r>
    <w:r>
      <w:rPr>
        <w:noProof/>
      </w:rPr>
      <w:t>19 november 2014</w:t>
    </w:r>
    <w:r>
      <w:fldChar w:fldCharType="end"/>
    </w:r>
    <w:r>
      <w:tab/>
      <w:t xml:space="preserve">DRAFT – </w:t>
    </w:r>
    <w:proofErr w:type="spellStart"/>
    <w:r>
      <w:t>Footer</w:t>
    </w:r>
    <w:proofErr w:type="spellEnd"/>
    <w:r>
      <w:t xml:space="preserve"> </w:t>
    </w:r>
    <w:proofErr w:type="spellStart"/>
    <w:r>
      <w:t>Arial</w:t>
    </w:r>
    <w:proofErr w:type="spellEnd"/>
    <w:r>
      <w:t xml:space="preserve"> 8pt {</w:t>
    </w:r>
    <w:proofErr w:type="spellStart"/>
    <w:r>
      <w:t>Style</w:t>
    </w:r>
    <w:proofErr w:type="spellEnd"/>
    <w:r>
      <w:t xml:space="preserve"> TAS </w:t>
    </w:r>
    <w:proofErr w:type="spellStart"/>
    <w:r>
      <w:t>Footer</w:t>
    </w:r>
    <w:proofErr w:type="spellEnd"/>
    <w:r>
      <w:t>}</w:t>
    </w:r>
  </w:p>
  <w:p w:rsidR="002D610B" w:rsidRDefault="002D610B" w:rsidP="00BF6ACB">
    <w:r>
      <w:rPr>
        <w:noProof/>
        <w:lang w:bidi="ar-SA"/>
      </w:rPr>
      <w:drawing>
        <wp:anchor distT="0" distB="0" distL="114300" distR="114300" simplePos="0" relativeHeight="251657216" behindDoc="0" locked="1" layoutInCell="1" allowOverlap="1" wp14:anchorId="4DCC9EDD" wp14:editId="3DF765FE">
          <wp:simplePos x="0" y="0"/>
          <wp:positionH relativeFrom="page">
            <wp:posOffset>9079865</wp:posOffset>
          </wp:positionH>
          <wp:positionV relativeFrom="page">
            <wp:posOffset>6986270</wp:posOffset>
          </wp:positionV>
          <wp:extent cx="1485900" cy="355600"/>
          <wp:effectExtent l="19050" t="0" r="0" b="0"/>
          <wp:wrapNone/>
          <wp:docPr id="21" name="Picture 1" descr="logo_black-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lack-white"/>
                  <pic:cNvPicPr>
                    <a:picLocks noChangeAspect="1" noChangeArrowheads="1"/>
                  </pic:cNvPicPr>
                </pic:nvPicPr>
                <pic:blipFill>
                  <a:blip r:embed="rId1"/>
                  <a:stretch>
                    <a:fillRect/>
                  </a:stretch>
                </pic:blipFill>
                <pic:spPr bwMode="auto">
                  <a:xfrm>
                    <a:off x="0" y="0"/>
                    <a:ext cx="1485900" cy="355600"/>
                  </a:xfrm>
                  <a:prstGeom prst="rect">
                    <a:avLst/>
                  </a:prstGeom>
                  <a:noFill/>
                </pic:spPr>
              </pic:pic>
            </a:graphicData>
          </a:graphic>
        </wp:anchor>
      </w:drawing>
    </w:r>
    <w:r>
      <w:tab/>
    </w:r>
    <w:fldSimple w:instr=" FILENAME  \* Caps  \* MERGEFORMAT ">
      <w:r>
        <w:rPr>
          <w:noProof/>
        </w:rPr>
        <w:t>195309_2.Docx</w:t>
      </w:r>
    </w:fldSimple>
    <w:r>
      <w:tab/>
      <w:t>Korlátozott kiadás</w:t>
    </w:r>
  </w:p>
  <w:p w:rsidR="002D610B" w:rsidRDefault="002D610B"/>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FooterpagenumA4port"/>
      <w:framePr w:wrap="around"/>
    </w:pPr>
    <w:r>
      <w:fldChar w:fldCharType="begin"/>
    </w:r>
    <w:r>
      <w:instrText xml:space="preserve"> PAGE   \* MERGEFORMAT </w:instrText>
    </w:r>
    <w:r>
      <w:fldChar w:fldCharType="separate"/>
    </w:r>
    <w:r w:rsidR="007206FC">
      <w:rPr>
        <w:noProof/>
      </w:rPr>
      <w:t>49</w:t>
    </w:r>
    <w:r>
      <w:fldChar w:fldCharType="end"/>
    </w:r>
  </w:p>
  <w:sdt>
    <w:sdtPr>
      <w:alias w:val="CAReportDate"/>
      <w:tag w:val="CAReportDate"/>
      <w:id w:val="-885096929"/>
      <w:showingPlcHdr/>
      <w:text/>
    </w:sdtPr>
    <w:sdtContent>
      <w:p w:rsidR="002D610B" w:rsidRDefault="002D610B" w:rsidP="00BF6ACB">
        <w:pPr>
          <w:pStyle w:val="TASFooterdatefieldA4port"/>
          <w:framePr w:wrap="around"/>
        </w:pPr>
        <w:r>
          <w:t xml:space="preserve">     </w:t>
        </w:r>
      </w:p>
    </w:sdtContent>
  </w:sdt>
  <w:sdt>
    <w:sdtPr>
      <w:alias w:val="CADraft"/>
      <w:tag w:val="CADraft"/>
      <w:id w:val="-1160845943"/>
      <w:showingPlcHdr/>
      <w:text/>
    </w:sdtPr>
    <w:sdtContent>
      <w:p w:rsidR="002D610B" w:rsidRPr="00057D56" w:rsidRDefault="002D610B" w:rsidP="00BF6ACB">
        <w:pPr>
          <w:pStyle w:val="TASFooterdraftA4port"/>
          <w:framePr w:wrap="around"/>
        </w:pPr>
        <w:r>
          <w:t xml:space="preserve">     </w:t>
        </w:r>
      </w:p>
    </w:sdtContent>
  </w:sdt>
  <w:p w:rsidR="002D610B" w:rsidRDefault="002D610B" w:rsidP="00BF6ACB">
    <w:pPr>
      <w:pStyle w:val="TASFooterlogoA4port"/>
      <w:framePr w:wrap="around"/>
    </w:pPr>
  </w:p>
  <w:p w:rsidR="002D610B" w:rsidRPr="00944F86" w:rsidRDefault="002D610B" w:rsidP="00BF6ACB">
    <w:pPr>
      <w:pStyle w:val="TAS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FooterpagenumA4port"/>
      <w:framePr w:wrap="around"/>
    </w:pPr>
    <w:r>
      <w:fldChar w:fldCharType="begin"/>
    </w:r>
    <w:r>
      <w:instrText xml:space="preserve"> PAGE   \* MERGEFORMAT </w:instrText>
    </w:r>
    <w:r>
      <w:fldChar w:fldCharType="separate"/>
    </w:r>
    <w:r w:rsidR="007206FC">
      <w:rPr>
        <w:noProof/>
      </w:rPr>
      <w:t>56</w:t>
    </w:r>
    <w:r>
      <w:rPr>
        <w:noProof/>
      </w:rPr>
      <w:fldChar w:fldCharType="end"/>
    </w:r>
  </w:p>
  <w:sdt>
    <w:sdtPr>
      <w:alias w:val="CAReportDate"/>
      <w:tag w:val="CAReportDate"/>
      <w:id w:val="-281816595"/>
      <w:showingPlcHdr/>
      <w:text/>
    </w:sdtPr>
    <w:sdtContent>
      <w:p w:rsidR="002D610B" w:rsidRDefault="002D610B" w:rsidP="00540363">
        <w:pPr>
          <w:pStyle w:val="TASFooterdatefieldA4port"/>
          <w:framePr w:wrap="around" w:x="1458"/>
        </w:pPr>
        <w:r>
          <w:t xml:space="preserve">     </w:t>
        </w:r>
      </w:p>
    </w:sdtContent>
  </w:sdt>
  <w:sdt>
    <w:sdtPr>
      <w:alias w:val="CADraft"/>
      <w:tag w:val="CADraft"/>
      <w:id w:val="-448003166"/>
      <w:showingPlcHdr/>
      <w:text/>
    </w:sdtPr>
    <w:sdtContent>
      <w:p w:rsidR="002D610B" w:rsidRPr="00057D56" w:rsidRDefault="002D610B" w:rsidP="00BF6ACB">
        <w:pPr>
          <w:pStyle w:val="TASFooterdraftA4port"/>
          <w:framePr w:wrap="around"/>
        </w:pPr>
        <w:r>
          <w:t xml:space="preserve">     </w:t>
        </w:r>
      </w:p>
    </w:sdtContent>
  </w:sdt>
  <w:p w:rsidR="002D610B" w:rsidRDefault="002D610B" w:rsidP="00BF6ACB">
    <w:pPr>
      <w:pStyle w:val="TASFooterlogoA4port"/>
      <w:framePr w:wrap="around"/>
    </w:pPr>
  </w:p>
  <w:p w:rsidR="002D610B" w:rsidRPr="00944F86" w:rsidRDefault="002D610B" w:rsidP="00BF6ACB">
    <w:pPr>
      <w:pStyle w:val="TAS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r>
      <w:fldChar w:fldCharType="begin"/>
    </w:r>
    <w:r>
      <w:instrText xml:space="preserve"> PAGE   \* MERGEFORMAT </w:instrText>
    </w:r>
    <w:r>
      <w:fldChar w:fldCharType="separate"/>
    </w:r>
    <w:r>
      <w:rPr>
        <w:noProof/>
      </w:rPr>
      <w:t>91</w:t>
    </w:r>
    <w:r>
      <w:fldChar w:fldCharType="end"/>
    </w:r>
    <w:r>
      <w:tab/>
    </w:r>
    <w:r>
      <w:fldChar w:fldCharType="begin"/>
    </w:r>
    <w:r>
      <w:instrText xml:space="preserve"> DATE  \@ "d MMMM yyyy"  \* MERGEFORMAT </w:instrText>
    </w:r>
    <w:r>
      <w:fldChar w:fldCharType="separate"/>
    </w:r>
    <w:r>
      <w:rPr>
        <w:noProof/>
      </w:rPr>
      <w:t>19 november 2014</w:t>
    </w:r>
    <w:r>
      <w:fldChar w:fldCharType="end"/>
    </w:r>
    <w:r>
      <w:tab/>
      <w:t xml:space="preserve">DRAFT – </w:t>
    </w:r>
    <w:proofErr w:type="spellStart"/>
    <w:r>
      <w:t>Footer</w:t>
    </w:r>
    <w:proofErr w:type="spellEnd"/>
    <w:r>
      <w:t xml:space="preserve"> </w:t>
    </w:r>
    <w:proofErr w:type="spellStart"/>
    <w:r>
      <w:t>Arial</w:t>
    </w:r>
    <w:proofErr w:type="spellEnd"/>
    <w:r>
      <w:t xml:space="preserve"> 8pt {</w:t>
    </w:r>
    <w:proofErr w:type="spellStart"/>
    <w:r>
      <w:t>Style</w:t>
    </w:r>
    <w:proofErr w:type="spellEnd"/>
    <w:r>
      <w:t xml:space="preserve"> TAS </w:t>
    </w:r>
    <w:proofErr w:type="spellStart"/>
    <w:r>
      <w:t>Footer</w:t>
    </w:r>
    <w:proofErr w:type="spellEnd"/>
    <w:r>
      <w:t>}</w:t>
    </w:r>
  </w:p>
  <w:p w:rsidR="002D610B" w:rsidRDefault="002D610B" w:rsidP="00BF6ACB">
    <w:r>
      <w:rPr>
        <w:noProof/>
        <w:lang w:bidi="ar-SA"/>
      </w:rPr>
      <w:drawing>
        <wp:anchor distT="0" distB="0" distL="114300" distR="114300" simplePos="0" relativeHeight="251658240" behindDoc="0" locked="1" layoutInCell="1" allowOverlap="1" wp14:anchorId="571095B7" wp14:editId="324C8285">
          <wp:simplePos x="0" y="0"/>
          <wp:positionH relativeFrom="page">
            <wp:posOffset>9079865</wp:posOffset>
          </wp:positionH>
          <wp:positionV relativeFrom="page">
            <wp:posOffset>6986270</wp:posOffset>
          </wp:positionV>
          <wp:extent cx="1485900" cy="355600"/>
          <wp:effectExtent l="19050" t="0" r="0" b="0"/>
          <wp:wrapNone/>
          <wp:docPr id="22" name="Picture 1" descr="logo_black-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lack-white"/>
                  <pic:cNvPicPr>
                    <a:picLocks noChangeAspect="1" noChangeArrowheads="1"/>
                  </pic:cNvPicPr>
                </pic:nvPicPr>
                <pic:blipFill>
                  <a:blip r:embed="rId1"/>
                  <a:stretch>
                    <a:fillRect/>
                  </a:stretch>
                </pic:blipFill>
                <pic:spPr bwMode="auto">
                  <a:xfrm>
                    <a:off x="0" y="0"/>
                    <a:ext cx="1485900" cy="355600"/>
                  </a:xfrm>
                  <a:prstGeom prst="rect">
                    <a:avLst/>
                  </a:prstGeom>
                  <a:noFill/>
                </pic:spPr>
              </pic:pic>
            </a:graphicData>
          </a:graphic>
        </wp:anchor>
      </w:drawing>
    </w:r>
    <w:r>
      <w:tab/>
    </w:r>
    <w:fldSimple w:instr=" FILENAME  \* Caps  \* MERGEFORMAT ">
      <w:r>
        <w:rPr>
          <w:noProof/>
        </w:rPr>
        <w:t>195309_2.Docx</w:t>
      </w:r>
    </w:fldSimple>
    <w:r>
      <w:tab/>
      <w:t>Korlátozott kiadás</w:t>
    </w:r>
  </w:p>
  <w:p w:rsidR="002D610B" w:rsidRDefault="002D610B"/>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FooterpagenumA4port"/>
      <w:framePr w:wrap="around"/>
    </w:pPr>
    <w:r>
      <w:fldChar w:fldCharType="begin"/>
    </w:r>
    <w:r>
      <w:instrText xml:space="preserve"> PAGE   \* MERGEFORMAT </w:instrText>
    </w:r>
    <w:r>
      <w:fldChar w:fldCharType="separate"/>
    </w:r>
    <w:r w:rsidR="007206FC">
      <w:rPr>
        <w:noProof/>
      </w:rPr>
      <w:t>67</w:t>
    </w:r>
    <w:r>
      <w:fldChar w:fldCharType="end"/>
    </w:r>
  </w:p>
  <w:sdt>
    <w:sdtPr>
      <w:alias w:val="CAReportDate"/>
      <w:tag w:val="CAReportDate"/>
      <w:id w:val="1743674197"/>
      <w:showingPlcHdr/>
      <w:text/>
    </w:sdtPr>
    <w:sdtContent>
      <w:p w:rsidR="002D610B" w:rsidRDefault="002D610B" w:rsidP="00BF6ACB">
        <w:pPr>
          <w:pStyle w:val="TASFooterdatefieldA4port"/>
          <w:framePr w:wrap="around"/>
        </w:pPr>
        <w:r>
          <w:t xml:space="preserve">     </w:t>
        </w:r>
      </w:p>
    </w:sdtContent>
  </w:sdt>
  <w:sdt>
    <w:sdtPr>
      <w:alias w:val="CADraft"/>
      <w:tag w:val="CADraft"/>
      <w:id w:val="871494400"/>
      <w:showingPlcHdr/>
      <w:text/>
    </w:sdtPr>
    <w:sdtContent>
      <w:p w:rsidR="002D610B" w:rsidRPr="00057D56" w:rsidRDefault="002D610B" w:rsidP="00BF6ACB">
        <w:pPr>
          <w:pStyle w:val="TASFooterdraftA4port"/>
          <w:framePr w:wrap="around"/>
        </w:pPr>
        <w:r>
          <w:t xml:space="preserve">     </w:t>
        </w:r>
      </w:p>
    </w:sdtContent>
  </w:sdt>
  <w:p w:rsidR="002D610B" w:rsidRDefault="002D610B" w:rsidP="00BF6ACB">
    <w:pPr>
      <w:pStyle w:val="TASFooterlogoA4port"/>
      <w:framePr w:wrap="around"/>
    </w:pPr>
  </w:p>
  <w:p w:rsidR="002D610B" w:rsidRPr="00944F86" w:rsidRDefault="002D610B" w:rsidP="00BF6ACB">
    <w:pPr>
      <w:pStyle w:val="TAS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FooterpagenumA4port"/>
      <w:framePr w:wrap="around"/>
    </w:pPr>
    <w:r>
      <w:fldChar w:fldCharType="begin"/>
    </w:r>
    <w:r>
      <w:instrText xml:space="preserve"> PAGE   \* MERGEFORMAT </w:instrText>
    </w:r>
    <w:r>
      <w:fldChar w:fldCharType="separate"/>
    </w:r>
    <w:r w:rsidR="007206FC">
      <w:rPr>
        <w:noProof/>
      </w:rPr>
      <w:t>68</w:t>
    </w:r>
    <w:r>
      <w:rPr>
        <w:noProof/>
      </w:rPr>
      <w:fldChar w:fldCharType="end"/>
    </w:r>
  </w:p>
  <w:sdt>
    <w:sdtPr>
      <w:alias w:val="CAReportDate"/>
      <w:tag w:val="CAReportDate"/>
      <w:id w:val="1672225172"/>
      <w:showingPlcHdr/>
      <w:text/>
    </w:sdtPr>
    <w:sdtContent>
      <w:p w:rsidR="002D610B" w:rsidRDefault="002D610B" w:rsidP="00BF6ACB">
        <w:pPr>
          <w:pStyle w:val="TASFooterdatefieldA4port"/>
          <w:framePr w:wrap="around"/>
        </w:pPr>
        <w:r>
          <w:t xml:space="preserve">     </w:t>
        </w:r>
      </w:p>
    </w:sdtContent>
  </w:sdt>
  <w:sdt>
    <w:sdtPr>
      <w:alias w:val="CADraft"/>
      <w:tag w:val="CADraft"/>
      <w:id w:val="1736816635"/>
      <w:showingPlcHdr/>
      <w:text/>
    </w:sdtPr>
    <w:sdtContent>
      <w:p w:rsidR="002D610B" w:rsidRPr="00057D56" w:rsidRDefault="002D610B" w:rsidP="00BF6ACB">
        <w:pPr>
          <w:pStyle w:val="TASFooterdraftA4port"/>
          <w:framePr w:wrap="around"/>
        </w:pPr>
        <w:r>
          <w:t xml:space="preserve">     </w:t>
        </w:r>
      </w:p>
    </w:sdtContent>
  </w:sdt>
  <w:p w:rsidR="002D610B" w:rsidRDefault="002D610B" w:rsidP="00BF6ACB">
    <w:pPr>
      <w:pStyle w:val="TASFooterlogoA4port"/>
      <w:framePr w:wrap="around"/>
    </w:pPr>
  </w:p>
  <w:p w:rsidR="002D610B" w:rsidRPr="00944F86" w:rsidRDefault="002D610B" w:rsidP="00BF6ACB">
    <w:pPr>
      <w:pStyle w:val="TAS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r>
      <w:fldChar w:fldCharType="begin"/>
    </w:r>
    <w:r>
      <w:instrText xml:space="preserve"> PAGE   \* MERGEFORMAT </w:instrText>
    </w:r>
    <w:r>
      <w:fldChar w:fldCharType="separate"/>
    </w:r>
    <w:r>
      <w:rPr>
        <w:noProof/>
      </w:rPr>
      <w:t>91</w:t>
    </w:r>
    <w:r>
      <w:fldChar w:fldCharType="end"/>
    </w:r>
    <w:r>
      <w:tab/>
    </w:r>
    <w:r>
      <w:fldChar w:fldCharType="begin"/>
    </w:r>
    <w:r>
      <w:instrText xml:space="preserve"> DATE  \@ "d MMMM yyyy"  \* MERGEFORMAT </w:instrText>
    </w:r>
    <w:r>
      <w:fldChar w:fldCharType="separate"/>
    </w:r>
    <w:r>
      <w:rPr>
        <w:noProof/>
      </w:rPr>
      <w:t>19 november 2014</w:t>
    </w:r>
    <w:r>
      <w:fldChar w:fldCharType="end"/>
    </w:r>
    <w:r>
      <w:tab/>
      <w:t xml:space="preserve">DRAFT – </w:t>
    </w:r>
    <w:proofErr w:type="spellStart"/>
    <w:r>
      <w:t>Footer</w:t>
    </w:r>
    <w:proofErr w:type="spellEnd"/>
    <w:r>
      <w:t xml:space="preserve"> </w:t>
    </w:r>
    <w:proofErr w:type="spellStart"/>
    <w:r>
      <w:t>Arial</w:t>
    </w:r>
    <w:proofErr w:type="spellEnd"/>
    <w:r>
      <w:t xml:space="preserve"> 8pt {</w:t>
    </w:r>
    <w:proofErr w:type="spellStart"/>
    <w:r>
      <w:t>Style</w:t>
    </w:r>
    <w:proofErr w:type="spellEnd"/>
    <w:r>
      <w:t xml:space="preserve"> TAS </w:t>
    </w:r>
    <w:proofErr w:type="spellStart"/>
    <w:r>
      <w:t>Footer</w:t>
    </w:r>
    <w:proofErr w:type="spellEnd"/>
    <w:r>
      <w:t>}</w:t>
    </w:r>
  </w:p>
  <w:p w:rsidR="002D610B" w:rsidRDefault="002D610B" w:rsidP="00BF6ACB">
    <w:r>
      <w:rPr>
        <w:noProof/>
        <w:lang w:bidi="ar-SA"/>
      </w:rPr>
      <w:drawing>
        <wp:anchor distT="0" distB="0" distL="114300" distR="114300" simplePos="0" relativeHeight="251659264" behindDoc="0" locked="1" layoutInCell="1" allowOverlap="1" wp14:anchorId="3C37F784" wp14:editId="4A1F5C91">
          <wp:simplePos x="0" y="0"/>
          <wp:positionH relativeFrom="page">
            <wp:posOffset>9079865</wp:posOffset>
          </wp:positionH>
          <wp:positionV relativeFrom="page">
            <wp:posOffset>6986270</wp:posOffset>
          </wp:positionV>
          <wp:extent cx="1485900" cy="355600"/>
          <wp:effectExtent l="19050" t="0" r="0" b="0"/>
          <wp:wrapNone/>
          <wp:docPr id="23" name="Picture 1" descr="logo_black-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lack-white"/>
                  <pic:cNvPicPr>
                    <a:picLocks noChangeAspect="1" noChangeArrowheads="1"/>
                  </pic:cNvPicPr>
                </pic:nvPicPr>
                <pic:blipFill>
                  <a:blip r:embed="rId1"/>
                  <a:stretch>
                    <a:fillRect/>
                  </a:stretch>
                </pic:blipFill>
                <pic:spPr bwMode="auto">
                  <a:xfrm>
                    <a:off x="0" y="0"/>
                    <a:ext cx="1485900" cy="355600"/>
                  </a:xfrm>
                  <a:prstGeom prst="rect">
                    <a:avLst/>
                  </a:prstGeom>
                  <a:noFill/>
                </pic:spPr>
              </pic:pic>
            </a:graphicData>
          </a:graphic>
        </wp:anchor>
      </w:drawing>
    </w:r>
    <w:r>
      <w:tab/>
    </w:r>
    <w:fldSimple w:instr=" FILENAME  \* Caps  \* MERGEFORMAT ">
      <w:r>
        <w:rPr>
          <w:noProof/>
        </w:rPr>
        <w:t>195309_2.Docx</w:t>
      </w:r>
    </w:fldSimple>
    <w:r>
      <w:tab/>
      <w:t>Korlátozott kiadás</w:t>
    </w:r>
  </w:p>
  <w:p w:rsidR="002D610B" w:rsidRDefault="002D610B"/>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FooterpagenumA4port"/>
      <w:framePr w:wrap="around"/>
    </w:pPr>
    <w:r>
      <w:fldChar w:fldCharType="begin"/>
    </w:r>
    <w:r>
      <w:instrText xml:space="preserve"> PAGE   \* MERGEFORMAT </w:instrText>
    </w:r>
    <w:r>
      <w:fldChar w:fldCharType="separate"/>
    </w:r>
    <w:r w:rsidR="007206FC">
      <w:rPr>
        <w:noProof/>
      </w:rPr>
      <w:t>75</w:t>
    </w:r>
    <w:r>
      <w:fldChar w:fldCharType="end"/>
    </w:r>
  </w:p>
  <w:sdt>
    <w:sdtPr>
      <w:alias w:val="CAReportDate"/>
      <w:tag w:val="CAReportDate"/>
      <w:id w:val="2137600812"/>
      <w:showingPlcHdr/>
      <w:text/>
    </w:sdtPr>
    <w:sdtContent>
      <w:p w:rsidR="002D610B" w:rsidRDefault="002D610B" w:rsidP="00BF6ACB">
        <w:pPr>
          <w:pStyle w:val="TASFooterdatefieldA4port"/>
          <w:framePr w:wrap="around"/>
        </w:pPr>
        <w:r>
          <w:t xml:space="preserve">     </w:t>
        </w:r>
      </w:p>
    </w:sdtContent>
  </w:sdt>
  <w:sdt>
    <w:sdtPr>
      <w:alias w:val="CADraft"/>
      <w:tag w:val="CADraft"/>
      <w:id w:val="1757166913"/>
      <w:showingPlcHdr/>
      <w:text/>
    </w:sdtPr>
    <w:sdtContent>
      <w:p w:rsidR="002D610B" w:rsidRPr="00057D56" w:rsidRDefault="002D610B" w:rsidP="00BF6ACB">
        <w:pPr>
          <w:pStyle w:val="TASFooterdraftA4port"/>
          <w:framePr w:wrap="around"/>
        </w:pPr>
        <w:r>
          <w:t xml:space="preserve">     </w:t>
        </w:r>
      </w:p>
    </w:sdtContent>
  </w:sdt>
  <w:p w:rsidR="002D610B" w:rsidRDefault="002D610B" w:rsidP="00BF6ACB">
    <w:pPr>
      <w:pStyle w:val="TASFooterlogoA4port"/>
      <w:framePr w:wrap="around"/>
    </w:pPr>
  </w:p>
  <w:p w:rsidR="002D610B" w:rsidRPr="00944F86" w:rsidRDefault="002D610B" w:rsidP="00BF6ACB">
    <w:pPr>
      <w:pStyle w:val="TAS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FooterpagenumA4port"/>
      <w:framePr w:wrap="around"/>
    </w:pPr>
    <w:r>
      <w:fldChar w:fldCharType="begin"/>
    </w:r>
    <w:r>
      <w:instrText xml:space="preserve"> PAGE   \* MERGEFORMAT </w:instrText>
    </w:r>
    <w:r>
      <w:fldChar w:fldCharType="separate"/>
    </w:r>
    <w:r w:rsidR="003477BD">
      <w:rPr>
        <w:noProof/>
      </w:rPr>
      <w:t>96</w:t>
    </w:r>
    <w:r>
      <w:rPr>
        <w:noProof/>
      </w:rPr>
      <w:fldChar w:fldCharType="end"/>
    </w:r>
  </w:p>
  <w:sdt>
    <w:sdtPr>
      <w:alias w:val="CAReportDate"/>
      <w:tag w:val="CAReportDate"/>
      <w:id w:val="2017108042"/>
      <w:text/>
    </w:sdtPr>
    <w:sdtContent>
      <w:p w:rsidR="002D610B" w:rsidRDefault="002D610B" w:rsidP="00BF6ACB">
        <w:pPr>
          <w:pStyle w:val="TASFooterdatefieldA4port"/>
          <w:framePr w:wrap="around"/>
        </w:pPr>
        <w:r>
          <w:t>2014. október 15.</w:t>
        </w:r>
      </w:p>
    </w:sdtContent>
  </w:sdt>
  <w:p w:rsidR="002D610B" w:rsidRPr="001C437C" w:rsidRDefault="002D610B" w:rsidP="00BF6ACB">
    <w:pPr>
      <w:pStyle w:val="TASFooterconfidentialA4port"/>
      <w:framePr w:wrap="around"/>
    </w:pPr>
    <w:r>
      <w:t>Korlátozott kiadás</w:t>
    </w:r>
  </w:p>
  <w:sdt>
    <w:sdtPr>
      <w:alias w:val="CADraft"/>
      <w:tag w:val="CADraft"/>
      <w:id w:val="-1800523313"/>
      <w:text/>
    </w:sdtPr>
    <w:sdtContent>
      <w:p w:rsidR="002D610B" w:rsidRPr="00057D56" w:rsidRDefault="002D610B" w:rsidP="00BF6ACB">
        <w:pPr>
          <w:pStyle w:val="TASFooterdraftA4port"/>
          <w:framePr w:wrap="around"/>
        </w:pPr>
        <w:r>
          <w:t>Tervezet</w:t>
        </w:r>
      </w:p>
    </w:sdtContent>
  </w:sdt>
  <w:p w:rsidR="002D610B" w:rsidRDefault="002D610B" w:rsidP="00BF6ACB">
    <w:pPr>
      <w:pStyle w:val="TASFooterlogoA4port"/>
      <w:framePr w:wrap="around"/>
    </w:pPr>
  </w:p>
  <w:p w:rsidR="002D610B" w:rsidRPr="00E47F82" w:rsidRDefault="002D610B" w:rsidP="00BF6ACB">
    <w:pPr>
      <w:pStyle w:val="TASFooterfilenameA4port"/>
      <w:framePr w:wrap="around"/>
    </w:pPr>
    <w:fldSimple w:instr=" FILENAME  \* Caps  \* MERGEFORMAT ">
      <w:r>
        <w:rPr>
          <w:noProof/>
        </w:rPr>
        <w:t>195309_2.Docx</w:t>
      </w:r>
    </w:fldSimple>
  </w:p>
  <w:p w:rsidR="002D610B" w:rsidRPr="00944F86" w:rsidRDefault="002D610B" w:rsidP="00BF6ACB">
    <w:pPr>
      <w:pStyle w:val="TAS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r>
      <w:fldChar w:fldCharType="begin"/>
    </w:r>
    <w:r>
      <w:instrText xml:space="preserve"> PAGE   \* MERGEFORMAT </w:instrText>
    </w:r>
    <w:r>
      <w:fldChar w:fldCharType="separate"/>
    </w:r>
    <w:r>
      <w:rPr>
        <w:noProof/>
      </w:rPr>
      <w:t>91</w:t>
    </w:r>
    <w:r>
      <w:fldChar w:fldCharType="end"/>
    </w:r>
    <w:r>
      <w:tab/>
    </w:r>
    <w:r>
      <w:fldChar w:fldCharType="begin"/>
    </w:r>
    <w:r>
      <w:instrText xml:space="preserve"> DATE  \@ "d MMMM yyyy"  \* MERGEFORMAT </w:instrText>
    </w:r>
    <w:r>
      <w:fldChar w:fldCharType="separate"/>
    </w:r>
    <w:r>
      <w:rPr>
        <w:noProof/>
      </w:rPr>
      <w:t>19 november 2014</w:t>
    </w:r>
    <w:r>
      <w:fldChar w:fldCharType="end"/>
    </w:r>
    <w:r>
      <w:tab/>
      <w:t xml:space="preserve">DRAFT – </w:t>
    </w:r>
    <w:proofErr w:type="spellStart"/>
    <w:r>
      <w:t>Footer</w:t>
    </w:r>
    <w:proofErr w:type="spellEnd"/>
    <w:r>
      <w:t xml:space="preserve"> </w:t>
    </w:r>
    <w:proofErr w:type="spellStart"/>
    <w:r>
      <w:t>Arial</w:t>
    </w:r>
    <w:proofErr w:type="spellEnd"/>
    <w:r>
      <w:t xml:space="preserve"> 8pt {</w:t>
    </w:r>
    <w:proofErr w:type="spellStart"/>
    <w:r>
      <w:t>Style</w:t>
    </w:r>
    <w:proofErr w:type="spellEnd"/>
    <w:r>
      <w:t xml:space="preserve"> TAS </w:t>
    </w:r>
    <w:proofErr w:type="spellStart"/>
    <w:r>
      <w:t>Footer</w:t>
    </w:r>
    <w:proofErr w:type="spellEnd"/>
    <w:r>
      <w:t>}</w:t>
    </w:r>
  </w:p>
  <w:p w:rsidR="002D610B" w:rsidRDefault="002D610B" w:rsidP="00BF6ACB">
    <w:r>
      <w:rPr>
        <w:noProof/>
        <w:lang w:bidi="ar-SA"/>
      </w:rPr>
      <w:drawing>
        <wp:anchor distT="0" distB="0" distL="114300" distR="114300" simplePos="0" relativeHeight="251660288" behindDoc="0" locked="1" layoutInCell="1" allowOverlap="1" wp14:anchorId="302F09CF" wp14:editId="17980997">
          <wp:simplePos x="0" y="0"/>
          <wp:positionH relativeFrom="page">
            <wp:posOffset>9079865</wp:posOffset>
          </wp:positionH>
          <wp:positionV relativeFrom="page">
            <wp:posOffset>6986270</wp:posOffset>
          </wp:positionV>
          <wp:extent cx="1485900" cy="355600"/>
          <wp:effectExtent l="19050" t="0" r="0" b="0"/>
          <wp:wrapNone/>
          <wp:docPr id="24" name="Picture 1" descr="logo_black-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lack-white"/>
                  <pic:cNvPicPr>
                    <a:picLocks noChangeAspect="1" noChangeArrowheads="1"/>
                  </pic:cNvPicPr>
                </pic:nvPicPr>
                <pic:blipFill>
                  <a:blip r:embed="rId1"/>
                  <a:stretch>
                    <a:fillRect/>
                  </a:stretch>
                </pic:blipFill>
                <pic:spPr bwMode="auto">
                  <a:xfrm>
                    <a:off x="0" y="0"/>
                    <a:ext cx="1485900" cy="355600"/>
                  </a:xfrm>
                  <a:prstGeom prst="rect">
                    <a:avLst/>
                  </a:prstGeom>
                  <a:noFill/>
                </pic:spPr>
              </pic:pic>
            </a:graphicData>
          </a:graphic>
        </wp:anchor>
      </w:drawing>
    </w:r>
    <w:r>
      <w:tab/>
    </w:r>
    <w:fldSimple w:instr=" FILENAME  \* Caps  \* MERGEFORMAT ">
      <w:r>
        <w:rPr>
          <w:noProof/>
        </w:rPr>
        <w:t>195309_2.Docx</w:t>
      </w:r>
    </w:fldSimple>
    <w:r>
      <w:tab/>
      <w:t>Korlátozott kiadás</w:t>
    </w:r>
  </w:p>
  <w:p w:rsidR="002D610B" w:rsidRDefault="002D610B"/>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FooterpagenumA4port"/>
      <w:framePr w:wrap="around"/>
    </w:pPr>
    <w:r>
      <w:fldChar w:fldCharType="begin"/>
    </w:r>
    <w:r>
      <w:instrText xml:space="preserve"> PAGE   \* MERGEFORMAT </w:instrText>
    </w:r>
    <w:r>
      <w:fldChar w:fldCharType="separate"/>
    </w:r>
    <w:r w:rsidR="003477BD">
      <w:rPr>
        <w:noProof/>
      </w:rPr>
      <w:t>97</w:t>
    </w:r>
    <w:r>
      <w:fldChar w:fldCharType="end"/>
    </w:r>
  </w:p>
  <w:sdt>
    <w:sdtPr>
      <w:rPr>
        <w:sz w:val="14"/>
      </w:rPr>
      <w:alias w:val="CAReportDate"/>
      <w:tag w:val="CAReportDate"/>
      <w:id w:val="117590579"/>
      <w:showingPlcHdr/>
      <w:text/>
    </w:sdtPr>
    <w:sdtContent>
      <w:p w:rsidR="002D610B" w:rsidRDefault="002D610B" w:rsidP="00BF6ACB">
        <w:pPr>
          <w:pStyle w:val="TASFooterdatefieldA4port"/>
          <w:framePr w:wrap="around"/>
        </w:pPr>
        <w:r>
          <w:rPr>
            <w:sz w:val="14"/>
          </w:rPr>
          <w:t xml:space="preserve">     </w:t>
        </w:r>
      </w:p>
    </w:sdtContent>
  </w:sdt>
  <w:sdt>
    <w:sdtPr>
      <w:alias w:val="CADraft"/>
      <w:tag w:val="CADraft"/>
      <w:id w:val="117590580"/>
      <w:showingPlcHdr/>
      <w:text/>
    </w:sdtPr>
    <w:sdtContent>
      <w:p w:rsidR="002D610B" w:rsidRPr="00057D56" w:rsidRDefault="002D610B" w:rsidP="00540363">
        <w:pPr>
          <w:pStyle w:val="TASFooterdraftA4port"/>
          <w:framePr w:wrap="around" w:x="4715" w:y="16045"/>
        </w:pPr>
        <w:r>
          <w:t xml:space="preserve">     </w:t>
        </w:r>
      </w:p>
    </w:sdtContent>
  </w:sdt>
  <w:p w:rsidR="002D610B" w:rsidRDefault="002D610B" w:rsidP="00BF6ACB">
    <w:pPr>
      <w:pStyle w:val="TASFooterlogoA4port"/>
      <w:framePr w:wrap="around"/>
    </w:pPr>
  </w:p>
  <w:p w:rsidR="002D610B" w:rsidRPr="00944F86" w:rsidRDefault="002D610B" w:rsidP="00BF6ACB">
    <w:pPr>
      <w:pStyle w:val="TAS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FooterpagenumA4port"/>
      <w:framePr w:wrap="around"/>
    </w:pPr>
    <w:r>
      <w:fldChar w:fldCharType="begin"/>
    </w:r>
    <w:r>
      <w:instrText xml:space="preserve"> PAGE   \* MERGEFORMAT </w:instrText>
    </w:r>
    <w:r>
      <w:fldChar w:fldCharType="separate"/>
    </w:r>
    <w:r w:rsidR="003477BD">
      <w:rPr>
        <w:noProof/>
      </w:rPr>
      <w:t>99</w:t>
    </w:r>
    <w:r>
      <w:fldChar w:fldCharType="end"/>
    </w:r>
  </w:p>
  <w:sdt>
    <w:sdtPr>
      <w:alias w:val="CAReportDate"/>
      <w:tag w:val="CAReportDate"/>
      <w:id w:val="906962219"/>
      <w:showingPlcHdr/>
      <w:text/>
    </w:sdtPr>
    <w:sdtContent>
      <w:p w:rsidR="002D610B" w:rsidRDefault="002D610B" w:rsidP="00BF6ACB">
        <w:pPr>
          <w:pStyle w:val="TASFooterdatefieldA4port"/>
          <w:framePr w:wrap="around"/>
        </w:pPr>
        <w:r>
          <w:t xml:space="preserve">     </w:t>
        </w:r>
      </w:p>
    </w:sdtContent>
  </w:sdt>
  <w:p w:rsidR="002D610B" w:rsidRDefault="002D610B" w:rsidP="00BF6ACB">
    <w:pPr>
      <w:pStyle w:val="TASFooterlogoA4port"/>
      <w:framePr w:wrap="around"/>
    </w:pPr>
  </w:p>
  <w:p w:rsidR="002D610B" w:rsidRPr="00944F86" w:rsidRDefault="002D610B" w:rsidP="00BF6ACB">
    <w:pPr>
      <w:pStyle w:val="TAS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FooterpagenumA4port"/>
      <w:framePr w:wrap="around"/>
    </w:pPr>
    <w:r>
      <w:fldChar w:fldCharType="begin"/>
    </w:r>
    <w:r>
      <w:instrText xml:space="preserve"> PAGE   \* MERGEFORMAT </w:instrText>
    </w:r>
    <w:r>
      <w:fldChar w:fldCharType="separate"/>
    </w:r>
    <w:r w:rsidR="007206FC">
      <w:rPr>
        <w:noProof/>
      </w:rPr>
      <w:t>101</w:t>
    </w:r>
    <w:r>
      <w:fldChar w:fldCharType="end"/>
    </w:r>
  </w:p>
  <w:sdt>
    <w:sdtPr>
      <w:alias w:val="CAReportDate"/>
      <w:tag w:val="CAReportDate"/>
      <w:id w:val="1158959594"/>
      <w:showingPlcHdr/>
      <w:text/>
    </w:sdtPr>
    <w:sdtContent>
      <w:p w:rsidR="002D610B" w:rsidRDefault="002D610B" w:rsidP="00BF6ACB">
        <w:pPr>
          <w:pStyle w:val="TASFooterdatefieldA4port"/>
          <w:framePr w:wrap="around"/>
        </w:pPr>
        <w:r>
          <w:t xml:space="preserve">     </w:t>
        </w:r>
      </w:p>
    </w:sdtContent>
  </w:sdt>
  <w:sdt>
    <w:sdtPr>
      <w:alias w:val="CADraft"/>
      <w:tag w:val="CADraft"/>
      <w:id w:val="-583300689"/>
      <w:showingPlcHdr/>
      <w:text/>
    </w:sdtPr>
    <w:sdtContent>
      <w:p w:rsidR="002D610B" w:rsidRPr="00057D56" w:rsidRDefault="002D610B" w:rsidP="00BF6ACB">
        <w:pPr>
          <w:pStyle w:val="TASFooterdraftA4port"/>
          <w:framePr w:wrap="around"/>
        </w:pPr>
        <w:r>
          <w:t xml:space="preserve">     </w:t>
        </w:r>
      </w:p>
    </w:sdtContent>
  </w:sdt>
  <w:p w:rsidR="002D610B" w:rsidRDefault="002D610B" w:rsidP="00BF6ACB">
    <w:pPr>
      <w:pStyle w:val="TASFooterlogoA4port"/>
      <w:framePr w:wrap="around"/>
    </w:pPr>
  </w:p>
  <w:p w:rsidR="002D610B" w:rsidRPr="00944F86" w:rsidRDefault="002D610B" w:rsidP="00BF6ACB">
    <w:pPr>
      <w:pStyle w:val="TAS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FooterpagenumA4port"/>
      <w:framePr w:wrap="around"/>
    </w:pPr>
    <w:r>
      <w:fldChar w:fldCharType="begin"/>
    </w:r>
    <w:r>
      <w:instrText xml:space="preserve"> PAGE   \* MERGEFORMAT </w:instrText>
    </w:r>
    <w:r>
      <w:fldChar w:fldCharType="separate"/>
    </w:r>
    <w:r w:rsidR="007206FC">
      <w:rPr>
        <w:noProof/>
      </w:rPr>
      <w:t>102</w:t>
    </w:r>
    <w:r>
      <w:fldChar w:fldCharType="end"/>
    </w:r>
  </w:p>
  <w:sdt>
    <w:sdtPr>
      <w:alias w:val="CAReportDate"/>
      <w:tag w:val="CAReportDate"/>
      <w:id w:val="1047345562"/>
      <w:showingPlcHdr/>
      <w:text/>
    </w:sdtPr>
    <w:sdtContent>
      <w:p w:rsidR="002D610B" w:rsidRDefault="002D610B" w:rsidP="00BF6ACB">
        <w:pPr>
          <w:pStyle w:val="TASFooterdatefieldA4port"/>
          <w:framePr w:wrap="around"/>
        </w:pPr>
        <w:r>
          <w:t xml:space="preserve">     </w:t>
        </w:r>
      </w:p>
    </w:sdtContent>
  </w:sdt>
  <w:sdt>
    <w:sdtPr>
      <w:alias w:val="CADraft"/>
      <w:tag w:val="CADraft"/>
      <w:id w:val="210232135"/>
      <w:showingPlcHdr/>
      <w:text/>
    </w:sdtPr>
    <w:sdtContent>
      <w:p w:rsidR="002D610B" w:rsidRPr="00057D56" w:rsidRDefault="002D610B" w:rsidP="00540363">
        <w:pPr>
          <w:pStyle w:val="TASFooterdraftA4port"/>
          <w:framePr w:wrap="around"/>
          <w:jc w:val="left"/>
        </w:pPr>
        <w:r>
          <w:t xml:space="preserve">     </w:t>
        </w:r>
      </w:p>
    </w:sdtContent>
  </w:sdt>
  <w:p w:rsidR="002D610B" w:rsidRDefault="002D610B" w:rsidP="00BF6ACB">
    <w:pPr>
      <w:pStyle w:val="TASFooterlogoA4port"/>
      <w:framePr w:wrap="around"/>
    </w:pPr>
  </w:p>
  <w:p w:rsidR="002D610B" w:rsidRPr="00944F86" w:rsidRDefault="002D610B" w:rsidP="00BF6ACB">
    <w:pPr>
      <w:pStyle w:val="TAS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FooterpagenumA4port"/>
      <w:framePr w:wrap="around"/>
    </w:pPr>
    <w:r>
      <w:t>4</w:t>
    </w:r>
  </w:p>
  <w:sdt>
    <w:sdtPr>
      <w:alias w:val="CAReportDate"/>
      <w:tag w:val="CAReportDate"/>
      <w:id w:val="82028111"/>
      <w:showingPlcHdr/>
      <w:text/>
    </w:sdtPr>
    <w:sdtContent>
      <w:p w:rsidR="002D610B" w:rsidRDefault="002D610B" w:rsidP="00BF6ACB">
        <w:pPr>
          <w:pStyle w:val="TASFooterdatefieldA4port"/>
          <w:framePr w:wrap="around"/>
        </w:pPr>
        <w:r>
          <w:t xml:space="preserve">     </w:t>
        </w:r>
      </w:p>
    </w:sdtContent>
  </w:sdt>
  <w:p w:rsidR="002D610B" w:rsidRDefault="002D610B" w:rsidP="00BF6ACB">
    <w:pPr>
      <w:pStyle w:val="TASFooterlogoA4port"/>
      <w:framePr w:wrap="around"/>
    </w:pPr>
  </w:p>
  <w:p w:rsidR="002D610B" w:rsidRPr="00944F86" w:rsidRDefault="002D610B" w:rsidP="00BF6ACB">
    <w:pPr>
      <w:pStyle w:val="TAS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FooterpagenumA4port"/>
      <w:framePr w:wrap="around"/>
    </w:pPr>
    <w:r>
      <w:fldChar w:fldCharType="begin"/>
    </w:r>
    <w:r>
      <w:instrText xml:space="preserve"> PAGE   \* MERGEFORMAT </w:instrText>
    </w:r>
    <w:r>
      <w:fldChar w:fldCharType="separate"/>
    </w:r>
    <w:r w:rsidR="007206FC">
      <w:rPr>
        <w:noProof/>
      </w:rPr>
      <w:t>19</w:t>
    </w:r>
    <w:r>
      <w:fldChar w:fldCharType="end"/>
    </w:r>
  </w:p>
  <w:sdt>
    <w:sdtPr>
      <w:alias w:val="CAReportDate"/>
      <w:tag w:val="CAReportDate"/>
      <w:id w:val="-266386554"/>
      <w:showingPlcHdr/>
      <w:text/>
    </w:sdtPr>
    <w:sdtContent>
      <w:p w:rsidR="002D610B" w:rsidRDefault="002D610B" w:rsidP="00BF6ACB">
        <w:pPr>
          <w:pStyle w:val="TASFooterdatefieldA4port"/>
          <w:framePr w:wrap="around"/>
        </w:pPr>
        <w:r>
          <w:t xml:space="preserve">     </w:t>
        </w:r>
      </w:p>
    </w:sdtContent>
  </w:sdt>
  <w:sdt>
    <w:sdtPr>
      <w:alias w:val="CADraft"/>
      <w:tag w:val="CADraft"/>
      <w:id w:val="-1274853497"/>
      <w:showingPlcHdr/>
      <w:text/>
    </w:sdtPr>
    <w:sdtContent>
      <w:p w:rsidR="002D610B" w:rsidRPr="00057D56" w:rsidRDefault="002D610B" w:rsidP="00BF6ACB">
        <w:pPr>
          <w:pStyle w:val="TASFooterdraftA4port"/>
          <w:framePr w:wrap="around"/>
        </w:pPr>
        <w:r>
          <w:t xml:space="preserve">     </w:t>
        </w:r>
      </w:p>
    </w:sdtContent>
  </w:sdt>
  <w:p w:rsidR="002D610B" w:rsidRDefault="002D610B" w:rsidP="00BF6ACB">
    <w:pPr>
      <w:pStyle w:val="TASFooterlogoA4port"/>
      <w:framePr w:wrap="around"/>
    </w:pPr>
  </w:p>
  <w:p w:rsidR="002D610B" w:rsidRPr="00944F86" w:rsidRDefault="002D610B" w:rsidP="00BF6ACB">
    <w:pPr>
      <w:pStyle w:val="TAS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FooterpagenumA4port"/>
      <w:framePr w:wrap="around"/>
    </w:pPr>
    <w:r>
      <w:fldChar w:fldCharType="begin"/>
    </w:r>
    <w:r>
      <w:instrText xml:space="preserve"> PAGE   \* MERGEFORMAT </w:instrText>
    </w:r>
    <w:r>
      <w:fldChar w:fldCharType="separate"/>
    </w:r>
    <w:r w:rsidR="003477BD">
      <w:rPr>
        <w:noProof/>
      </w:rPr>
      <w:t>27</w:t>
    </w:r>
    <w:r>
      <w:rPr>
        <w:noProof/>
      </w:rPr>
      <w:fldChar w:fldCharType="end"/>
    </w:r>
  </w:p>
  <w:sdt>
    <w:sdtPr>
      <w:alias w:val="CAReportDate"/>
      <w:tag w:val="CAReportDate"/>
      <w:id w:val="-1384704209"/>
      <w:showingPlcHdr/>
      <w:text/>
    </w:sdtPr>
    <w:sdtContent>
      <w:p w:rsidR="002D610B" w:rsidRDefault="002D610B" w:rsidP="00540363">
        <w:pPr>
          <w:pStyle w:val="TASFooterdatefieldA4port"/>
          <w:framePr w:wrap="around" w:x="1145" w:y="15909"/>
        </w:pPr>
        <w:r>
          <w:t xml:space="preserve">     </w:t>
        </w:r>
      </w:p>
    </w:sdtContent>
  </w:sdt>
  <w:sdt>
    <w:sdtPr>
      <w:alias w:val="CADraft"/>
      <w:tag w:val="CADraft"/>
      <w:id w:val="-1041442822"/>
      <w:showingPlcHdr/>
      <w:text/>
    </w:sdtPr>
    <w:sdtContent>
      <w:p w:rsidR="002D610B" w:rsidRPr="00057D56" w:rsidRDefault="002D610B" w:rsidP="00BF6ACB">
        <w:pPr>
          <w:pStyle w:val="TASFooterdraftA4port"/>
          <w:framePr w:wrap="around"/>
        </w:pPr>
        <w:r>
          <w:t xml:space="preserve">     </w:t>
        </w:r>
      </w:p>
    </w:sdtContent>
  </w:sdt>
  <w:p w:rsidR="002D610B" w:rsidRDefault="002D610B" w:rsidP="00BF6ACB">
    <w:pPr>
      <w:pStyle w:val="TASFooterlogoA4port"/>
      <w:framePr w:wrap="around"/>
    </w:pPr>
  </w:p>
  <w:p w:rsidR="002D610B" w:rsidRPr="00944F86" w:rsidRDefault="002D610B" w:rsidP="00BF6ACB">
    <w:pPr>
      <w:pStyle w:val="TAS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r>
      <w:fldChar w:fldCharType="begin"/>
    </w:r>
    <w:r>
      <w:instrText xml:space="preserve"> PAGE   \* MERGEFORMAT </w:instrText>
    </w:r>
    <w:r>
      <w:fldChar w:fldCharType="separate"/>
    </w:r>
    <w:r>
      <w:rPr>
        <w:noProof/>
      </w:rPr>
      <w:t>91</w:t>
    </w:r>
    <w:r>
      <w:fldChar w:fldCharType="end"/>
    </w:r>
    <w:r>
      <w:tab/>
    </w:r>
    <w:r>
      <w:fldChar w:fldCharType="begin"/>
    </w:r>
    <w:r>
      <w:instrText xml:space="preserve"> DATE  \@ "d MMMM yyyy"  \* MERGEFORMAT </w:instrText>
    </w:r>
    <w:r>
      <w:fldChar w:fldCharType="separate"/>
    </w:r>
    <w:r>
      <w:rPr>
        <w:noProof/>
      </w:rPr>
      <w:t>19 november 2014</w:t>
    </w:r>
    <w:r>
      <w:fldChar w:fldCharType="end"/>
    </w:r>
    <w:r>
      <w:tab/>
      <w:t xml:space="preserve">DRAFT – </w:t>
    </w:r>
    <w:proofErr w:type="spellStart"/>
    <w:r>
      <w:t>Footer</w:t>
    </w:r>
    <w:proofErr w:type="spellEnd"/>
    <w:r>
      <w:t xml:space="preserve"> </w:t>
    </w:r>
    <w:proofErr w:type="spellStart"/>
    <w:r>
      <w:t>Arial</w:t>
    </w:r>
    <w:proofErr w:type="spellEnd"/>
    <w:r>
      <w:t xml:space="preserve"> 8pt {</w:t>
    </w:r>
    <w:proofErr w:type="spellStart"/>
    <w:r>
      <w:t>Style</w:t>
    </w:r>
    <w:proofErr w:type="spellEnd"/>
    <w:r>
      <w:t xml:space="preserve"> TAS </w:t>
    </w:r>
    <w:proofErr w:type="spellStart"/>
    <w:r>
      <w:t>Footer</w:t>
    </w:r>
    <w:proofErr w:type="spellEnd"/>
    <w:r>
      <w:t>}</w:t>
    </w:r>
  </w:p>
  <w:p w:rsidR="002D610B" w:rsidRDefault="002D610B" w:rsidP="00BF6ACB">
    <w:r>
      <w:rPr>
        <w:noProof/>
        <w:lang w:bidi="ar-SA"/>
      </w:rPr>
      <w:drawing>
        <wp:anchor distT="0" distB="0" distL="114300" distR="114300" simplePos="0" relativeHeight="251655168" behindDoc="0" locked="1" layoutInCell="1" allowOverlap="1" wp14:anchorId="49758306" wp14:editId="3C306BC6">
          <wp:simplePos x="0" y="0"/>
          <wp:positionH relativeFrom="page">
            <wp:posOffset>9079865</wp:posOffset>
          </wp:positionH>
          <wp:positionV relativeFrom="page">
            <wp:posOffset>6986270</wp:posOffset>
          </wp:positionV>
          <wp:extent cx="1485900" cy="355600"/>
          <wp:effectExtent l="19050" t="0" r="0" b="0"/>
          <wp:wrapNone/>
          <wp:docPr id="19" name="Picture 1" descr="logo_black-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black-white"/>
                  <pic:cNvPicPr>
                    <a:picLocks noChangeAspect="1" noChangeArrowheads="1"/>
                  </pic:cNvPicPr>
                </pic:nvPicPr>
                <pic:blipFill>
                  <a:blip r:embed="rId1"/>
                  <a:stretch>
                    <a:fillRect/>
                  </a:stretch>
                </pic:blipFill>
                <pic:spPr bwMode="auto">
                  <a:xfrm>
                    <a:off x="0" y="0"/>
                    <a:ext cx="1485900" cy="355600"/>
                  </a:xfrm>
                  <a:prstGeom prst="rect">
                    <a:avLst/>
                  </a:prstGeom>
                  <a:noFill/>
                </pic:spPr>
              </pic:pic>
            </a:graphicData>
          </a:graphic>
        </wp:anchor>
      </w:drawing>
    </w:r>
    <w:r>
      <w:tab/>
    </w:r>
    <w:fldSimple w:instr=" FILENAME  \* Caps  \* MERGEFORMAT ">
      <w:r>
        <w:rPr>
          <w:noProof/>
        </w:rPr>
        <w:t>195309_2.Docx</w:t>
      </w:r>
    </w:fldSimple>
    <w:r>
      <w:tab/>
      <w:t>Korlátozott kiadás</w:t>
    </w:r>
  </w:p>
  <w:p w:rsidR="002D610B" w:rsidRDefault="002D610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6E7" w:rsidRDefault="00FD06E7" w:rsidP="00F46719">
      <w:r>
        <w:separator/>
      </w:r>
    </w:p>
  </w:footnote>
  <w:footnote w:type="continuationSeparator" w:id="0">
    <w:p w:rsidR="00FD06E7" w:rsidRDefault="00FD06E7" w:rsidP="00F46719">
      <w:r>
        <w:continuationSeparator/>
      </w:r>
    </w:p>
  </w:footnote>
  <w:footnote w:id="1">
    <w:p w:rsidR="002D610B" w:rsidRDefault="002D610B">
      <w:pPr>
        <w:pStyle w:val="FootnoteText"/>
      </w:pPr>
      <w:r>
        <w:rPr>
          <w:rStyle w:val="FootnoteReference"/>
        </w:rPr>
        <w:footnoteRef/>
      </w:r>
      <w:r>
        <w:t xml:space="preserve"> Ez a Magyar Nemzeti Bank további belső vizsgálatától, valamint a nemzeti eszközkezelő társaság szerepével kapcsolatos megbeszélésektől függ.</w:t>
      </w:r>
    </w:p>
  </w:footnote>
  <w:footnote w:id="2">
    <w:p w:rsidR="002D610B" w:rsidRDefault="002D610B">
      <w:pPr>
        <w:pStyle w:val="FootnoteText"/>
      </w:pPr>
      <w:r>
        <w:rPr>
          <w:rStyle w:val="FootnoteReference"/>
        </w:rPr>
        <w:footnoteRef/>
      </w:r>
      <w:r>
        <w:t xml:space="preserve"> </w:t>
      </w:r>
      <w:r w:rsidRPr="00D16E66">
        <w:t>Az adózási ösztönzők a lakossági hitelezésből származó nem teljesítő állomány kezelését is elősegíthetik, de könnyedén szövegezhetőek oly módon is, hogy csak a vállalati ügyfelek nem teljesítő állományával kapcsolatban jelentsenek kedvezményeket</w:t>
      </w:r>
    </w:p>
  </w:footnote>
  <w:footnote w:id="3">
    <w:p w:rsidR="002D610B" w:rsidRDefault="002D610B" w:rsidP="001B29F9">
      <w:pPr>
        <w:pStyle w:val="FootnoteText"/>
      </w:pPr>
      <w:r>
        <w:rPr>
          <w:rStyle w:val="FootnoteReference"/>
        </w:rPr>
        <w:footnoteRef/>
      </w:r>
      <w:r>
        <w:t xml:space="preserve"> </w:t>
      </w:r>
      <w:r w:rsidRPr="00452470">
        <w:t xml:space="preserve">Függetlenül attól, hogy a banknak milyen mértékű tulajdonosi részesedése van az adós társaságban, úgy tekintendő, hogy a banknak befolyása van az adós felett, ha a bank képes befolyásolni az adós által elért jövedelmet az adós felett meglévő hatalmán keresztül, azaz ha a bank által szerzett jogok képessé teszik a bankot arra, hogy irányítsa az adós releváns tevékenységét (azt a tevékenységet, ami jelentősen befolyásolja a bank hozamát). </w:t>
      </w:r>
      <w:r>
        <w:t xml:space="preserve"> </w:t>
      </w:r>
    </w:p>
  </w:footnote>
  <w:footnote w:id="4">
    <w:p w:rsidR="002D610B" w:rsidRDefault="002D610B" w:rsidP="00AF7D99">
      <w:pPr>
        <w:pStyle w:val="FootnoteText"/>
        <w:ind w:left="284" w:hanging="284"/>
      </w:pPr>
      <w:r>
        <w:rPr>
          <w:rStyle w:val="FootnoteReference"/>
        </w:rPr>
        <w:footnoteRef/>
      </w:r>
      <w:r>
        <w:t xml:space="preserve"> </w:t>
      </w:r>
      <w:r>
        <w:tab/>
        <w:t xml:space="preserve">A lakossági szektort érintő megfontolásokra az LTT kezdeményezése nem terjed ki. Ennek oka, hogy a lakossági </w:t>
      </w:r>
      <w:proofErr w:type="spellStart"/>
      <w:r>
        <w:t>NPL-ekre</w:t>
      </w:r>
      <w:proofErr w:type="spellEnd"/>
      <w:r>
        <w:t xml:space="preserve"> vonatkozóan mind a jogi szabályozás, mind a politikai szándék eltérő.</w:t>
      </w:r>
    </w:p>
  </w:footnote>
  <w:footnote w:id="5">
    <w:p w:rsidR="002D610B" w:rsidRDefault="002D610B">
      <w:pPr>
        <w:pStyle w:val="FootnoteText"/>
      </w:pPr>
      <w:r>
        <w:rPr>
          <w:rStyle w:val="FootnoteReference"/>
        </w:rPr>
        <w:footnoteRef/>
      </w:r>
      <w:r>
        <w:t xml:space="preserve"> Ezen okból a Csődtörvény bármely rendelkezésével kapcsolatos megállapítás a lakossági </w:t>
      </w:r>
      <w:proofErr w:type="spellStart"/>
      <w:r>
        <w:t>NPL-ek</w:t>
      </w:r>
      <w:proofErr w:type="spellEnd"/>
      <w:r>
        <w:t xml:space="preserve"> problematikájára nem alkalmazandó.</w:t>
      </w:r>
    </w:p>
  </w:footnote>
  <w:footnote w:id="6">
    <w:p w:rsidR="002D610B" w:rsidRPr="0029285B" w:rsidRDefault="002D610B" w:rsidP="00BF6ACB">
      <w:pPr>
        <w:pStyle w:val="FootnoteText"/>
        <w:ind w:left="284" w:hanging="284"/>
      </w:pPr>
      <w:r>
        <w:rPr>
          <w:rStyle w:val="FootnoteReference"/>
        </w:rPr>
        <w:footnoteRef/>
      </w:r>
      <w:r>
        <w:t xml:space="preserve"> </w:t>
      </w:r>
      <w:r>
        <w:tab/>
        <w:t>A felszámolási eljárásban a biztosított hitelezők és a jelen fejezet 5.3 szakaszának (</w:t>
      </w:r>
      <w:r>
        <w:rPr>
          <w:i/>
        </w:rPr>
        <w:t>A hitelezők nyilvántartásba vétele</w:t>
      </w:r>
      <w:r>
        <w:t>) 2</w:t>
      </w:r>
      <w:proofErr w:type="gramStart"/>
      <w:r>
        <w:t>.,</w:t>
      </w:r>
      <w:proofErr w:type="gramEnd"/>
      <w:r>
        <w:t xml:space="preserve"> 4., 5., 6. 7. és 8. pontjaiban felsorolt hitelezők jogosultak szavazni.</w:t>
      </w:r>
    </w:p>
  </w:footnote>
  <w:footnote w:id="7">
    <w:p w:rsidR="002D610B" w:rsidRPr="007D2B80" w:rsidRDefault="002D610B" w:rsidP="00BF6ACB">
      <w:pPr>
        <w:pStyle w:val="FootnoteText"/>
        <w:ind w:left="284" w:hanging="284"/>
      </w:pPr>
      <w:r>
        <w:rPr>
          <w:rStyle w:val="FootnoteReference"/>
        </w:rPr>
        <w:footnoteRef/>
      </w:r>
      <w:r>
        <w:t xml:space="preserve"> </w:t>
      </w:r>
      <w:r>
        <w:tab/>
        <w:t>Felhívjuk a figyelmet, hogy az Új Polgári Törvénykönyv megszüntette azt a lehetőséget, hogy biztosítéki célú vételi jogot lehessen alapítani az adós fizetési kötelezettségének biztosítása érdekében.</w:t>
      </w:r>
    </w:p>
  </w:footnote>
  <w:footnote w:id="8">
    <w:p w:rsidR="002D610B" w:rsidRPr="000547A0" w:rsidRDefault="002D610B" w:rsidP="00BF6ACB">
      <w:pPr>
        <w:pStyle w:val="FootnoteText"/>
        <w:ind w:left="284" w:hanging="284"/>
        <w:jc w:val="both"/>
      </w:pPr>
      <w:r>
        <w:rPr>
          <w:rStyle w:val="FootnoteReference"/>
        </w:rPr>
        <w:footnoteRef/>
      </w:r>
      <w:r>
        <w:t xml:space="preserve"> </w:t>
      </w:r>
      <w:r>
        <w:tab/>
        <w:t>A "Budapest Elvek" a pénzügyi nehézségekkel küzdő adósokat célzó átstrukturálásra és az érintett felek átstrukturálás során követendő együttműködésére vonatkozóan alapelveket és egy hitelezői etikai kódexet próbál meg létrehozni. Ez a "londoni módszeren" alapul, és magában foglalja – többek között – az átstrukturálást a bíróság mellőzésével, az új források bevonását, egy türelmi időszak biztosítását és egy független üzleti átvilágítás elvégzését.</w:t>
      </w:r>
    </w:p>
  </w:footnote>
  <w:footnote w:id="9">
    <w:p w:rsidR="002D610B" w:rsidRDefault="002D610B" w:rsidP="00BF6ACB">
      <w:pPr>
        <w:pStyle w:val="FootnoteText"/>
        <w:ind w:left="284" w:hanging="284"/>
      </w:pPr>
      <w:r>
        <w:rPr>
          <w:rStyle w:val="FootnoteReference"/>
        </w:rPr>
        <w:footnoteRef/>
      </w:r>
      <w:r>
        <w:t xml:space="preserve"> </w:t>
      </w:r>
      <w:r>
        <w:tab/>
        <w:t xml:space="preserve">Ilyen például a </w:t>
      </w:r>
      <w:proofErr w:type="spellStart"/>
      <w:r>
        <w:rPr>
          <w:i/>
        </w:rPr>
        <w:t>mandat</w:t>
      </w:r>
      <w:proofErr w:type="spellEnd"/>
      <w:r>
        <w:rPr>
          <w:i/>
        </w:rPr>
        <w:t xml:space="preserve"> ad hoc</w:t>
      </w:r>
      <w:r>
        <w:t xml:space="preserve"> és a </w:t>
      </w:r>
      <w:proofErr w:type="spellStart"/>
      <w:r>
        <w:rPr>
          <w:i/>
        </w:rPr>
        <w:t>conciliation</w:t>
      </w:r>
      <w:proofErr w:type="spellEnd"/>
      <w:r>
        <w:t xml:space="preserve"> francia eljárások.</w:t>
      </w:r>
    </w:p>
  </w:footnote>
  <w:footnote w:id="10">
    <w:p w:rsidR="002D610B" w:rsidRDefault="002D610B" w:rsidP="00EA6E81">
      <w:pPr>
        <w:pStyle w:val="FootnoteText"/>
        <w:ind w:left="284" w:hanging="284"/>
      </w:pPr>
      <w:r>
        <w:rPr>
          <w:rStyle w:val="FootnoteReference"/>
        </w:rPr>
        <w:footnoteRef/>
      </w:r>
      <w:r>
        <w:t xml:space="preserve"> </w:t>
      </w:r>
      <w:r>
        <w:tab/>
        <w:t xml:space="preserve">Az EBRD által a fizetésképtelenségi szakértők vonatkozásában készített vizsgálat szintén tartalmaz e tekintetben releváns információkat. A vizsgálat összefoglalója az alábbi linken érhető el: </w:t>
      </w:r>
      <w:hyperlink r:id="rId1" w:history="1">
        <w:r>
          <w:rPr>
            <w:rStyle w:val="Hyperlink"/>
          </w:rPr>
          <w:t>http://assessment.ebrd.com/insolvency-office-holders/2014/report.html</w:t>
        </w:r>
      </w:hyperlink>
      <w:r>
        <w:rPr>
          <w:color w:val="1F497D"/>
        </w:rPr>
        <w:t xml:space="preserve">. </w:t>
      </w:r>
      <w:proofErr w:type="spellStart"/>
      <w:r>
        <w:rPr>
          <w:color w:val="1F497D"/>
        </w:rPr>
        <w:t>Magyarországországprofilja</w:t>
      </w:r>
      <w:proofErr w:type="spellEnd"/>
      <w:r>
        <w:rPr>
          <w:color w:val="1F497D"/>
        </w:rPr>
        <w:t xml:space="preserve">, valamint a magyar szabályozási környezet </w:t>
      </w:r>
      <w:proofErr w:type="spellStart"/>
      <w:r>
        <w:rPr>
          <w:color w:val="1F497D"/>
        </w:rPr>
        <w:t>összefoglalójapedig</w:t>
      </w:r>
      <w:proofErr w:type="spellEnd"/>
      <w:r>
        <w:rPr>
          <w:color w:val="1F497D"/>
        </w:rPr>
        <w:t xml:space="preserve"> az alábbi linken érhető el: </w:t>
      </w:r>
      <w:hyperlink r:id="rId2" w:history="1">
        <w:r>
          <w:rPr>
            <w:rStyle w:val="Hyperlink"/>
          </w:rPr>
          <w:t>http://assessment.ebrd.com/insolvency-office-holders/2014/country-profiles/hungary.html</w:t>
        </w:r>
      </w:hyperlink>
    </w:p>
  </w:footnote>
  <w:footnote w:id="11">
    <w:p w:rsidR="002D610B" w:rsidRDefault="002D610B" w:rsidP="001C2365">
      <w:pPr>
        <w:pStyle w:val="FootnoteText"/>
        <w:ind w:left="284" w:hanging="284"/>
      </w:pPr>
      <w:r>
        <w:rPr>
          <w:rStyle w:val="FootnoteReference"/>
        </w:rPr>
        <w:footnoteRef/>
      </w:r>
      <w:r>
        <w:t xml:space="preserve"> </w:t>
      </w:r>
      <w:r>
        <w:tab/>
        <w:t>Romániában a hitelezők kérelmet nyújthatnak be az eljárás kezdetekor egy bizonyos fizetésképtelenségi szakértő kinevezése iránt. A román csődtörvény 2014-ben történt reformját követően a hitelezők bármely, a kinevezésre irányuló kérelme elsőbbséget élvez az adós által benyújtott ilyen kérelemhez képest.</w:t>
      </w:r>
    </w:p>
  </w:footnote>
  <w:footnote w:id="12">
    <w:p w:rsidR="002D610B" w:rsidRPr="00492CF0" w:rsidRDefault="002D610B" w:rsidP="00BF6ACB">
      <w:pPr>
        <w:pStyle w:val="FootnoteText"/>
        <w:ind w:left="284" w:hanging="284"/>
        <w:jc w:val="both"/>
      </w:pPr>
      <w:r>
        <w:rPr>
          <w:rStyle w:val="FootnoteReference"/>
        </w:rPr>
        <w:footnoteRef/>
      </w:r>
      <w:r>
        <w:t xml:space="preserve"> </w:t>
      </w:r>
      <w:r>
        <w:tab/>
        <w:t xml:space="preserve">A „Budapest Elvek” megpróbálja meghatározni azokat az elveket, amelyeket a pénzügyi nehézségekkel küzdő adósok </w:t>
      </w:r>
      <w:proofErr w:type="spellStart"/>
      <w:r>
        <w:t>restrukturálása</w:t>
      </w:r>
      <w:proofErr w:type="spellEnd"/>
      <w:r>
        <w:t xml:space="preserve">, az érdekelt feleknek a </w:t>
      </w:r>
      <w:proofErr w:type="spellStart"/>
      <w:r>
        <w:t>restrukturálás</w:t>
      </w:r>
      <w:proofErr w:type="spellEnd"/>
      <w:r>
        <w:t xml:space="preserve"> során történő együttműködése és a hitelezői magatartási kódex kidolgozása során követni kell. Alapja a „London Megközelítés”, és többek között a következőket tartalmazza: a bíróságon kívüli </w:t>
      </w:r>
      <w:proofErr w:type="spellStart"/>
      <w:r>
        <w:t>restrukturálások</w:t>
      </w:r>
      <w:proofErr w:type="spellEnd"/>
      <w:r>
        <w:t xml:space="preserve"> előnyben részesítése, új pénzforrások biztosítása, várakozási időszak lehetővé tétele és független üzleti felülvizsgálat elvégzése.</w:t>
      </w:r>
    </w:p>
  </w:footnote>
  <w:footnote w:id="13">
    <w:p w:rsidR="002D610B" w:rsidRDefault="002D610B" w:rsidP="00DB02A0">
      <w:pPr>
        <w:pStyle w:val="FootnoteText"/>
        <w:ind w:left="284" w:hanging="284"/>
      </w:pPr>
      <w:r>
        <w:rPr>
          <w:rStyle w:val="FootnoteReference"/>
        </w:rPr>
        <w:footnoteRef/>
      </w:r>
      <w:r>
        <w:t xml:space="preserve"> </w:t>
      </w:r>
      <w:r>
        <w:tab/>
        <w:t xml:space="preserve">Az EBRD által a fizetésképtelenségi szakértők vonatkozásában készített vizsgálat tartalmaz e tekintetben releváns információkat. A vizsgálat összefoglalója az alábbi linken érhető el: </w:t>
      </w:r>
      <w:hyperlink r:id="rId3" w:history="1">
        <w:r>
          <w:rPr>
            <w:rStyle w:val="Hyperlink"/>
          </w:rPr>
          <w:t>http://assessment.ebrd.com/insolvency-office-holders/2014/report.html</w:t>
        </w:r>
      </w:hyperlink>
      <w:r>
        <w:rPr>
          <w:color w:val="1F497D"/>
        </w:rPr>
        <w:t xml:space="preserve">. </w:t>
      </w:r>
      <w:proofErr w:type="spellStart"/>
      <w:r>
        <w:rPr>
          <w:color w:val="1F497D"/>
        </w:rPr>
        <w:t>Magyarországországprofilja</w:t>
      </w:r>
      <w:proofErr w:type="spellEnd"/>
      <w:r>
        <w:rPr>
          <w:color w:val="1F497D"/>
        </w:rPr>
        <w:t xml:space="preserve">, valamint a magyar szabályozási környezet </w:t>
      </w:r>
      <w:proofErr w:type="spellStart"/>
      <w:r>
        <w:rPr>
          <w:color w:val="1F497D"/>
        </w:rPr>
        <w:t>összefoglalójapedig</w:t>
      </w:r>
      <w:proofErr w:type="spellEnd"/>
      <w:r>
        <w:rPr>
          <w:color w:val="1F497D"/>
        </w:rPr>
        <w:t xml:space="preserve"> az alábbi linken érhető el: </w:t>
      </w:r>
      <w:hyperlink r:id="rId4" w:history="1">
        <w:r>
          <w:rPr>
            <w:rStyle w:val="Hyperlink"/>
          </w:rPr>
          <w:t>http://assessment.ebrd.com/insolvency-office-holders/2014/country-profiles/hungary.html</w:t>
        </w:r>
      </w:hyperlink>
    </w:p>
  </w:footnote>
  <w:footnote w:id="14">
    <w:p w:rsidR="002D610B" w:rsidRPr="00BC26C3" w:rsidRDefault="002D610B" w:rsidP="00BF6ACB">
      <w:pPr>
        <w:pStyle w:val="FootnoteText"/>
        <w:ind w:left="284" w:hanging="284"/>
        <w:jc w:val="both"/>
      </w:pPr>
      <w:r>
        <w:rPr>
          <w:rStyle w:val="FootnoteReference"/>
        </w:rPr>
        <w:footnoteRef/>
      </w:r>
      <w:r>
        <w:t xml:space="preserve"> </w:t>
      </w:r>
      <w:r>
        <w:tab/>
        <w:t xml:space="preserve">Megjegyezzük, hogy Magyarország szokatlan gyakorlatot folytat abban a tekintetben, hogy a biztosított hitelezőktől előzetes jóváhagyást kér az értékesítéshez - ez jellemző gyakorlat Egyiptomban, Marokkóban és Tunéziában, de Európában ritkaság. A fizetésképtelenségi szakértők által végzett értékesítéshez általában szükséges hozzájárulásokról készült összefoglaló itt érhető el: </w:t>
      </w:r>
      <w:hyperlink r:id="rId5" w:history="1">
        <w:r w:rsidRPr="00AD059B">
          <w:rPr>
            <w:rStyle w:val="Hyperlink"/>
            <w:lang w:val="en-US"/>
          </w:rPr>
          <w:t>http://assessment.ebrd.com/insolvency-office-holders/2014/report.html</w:t>
        </w:r>
      </w:hyperlink>
      <w:r>
        <w:rPr>
          <w:rStyle w:val="Hyperlink"/>
          <w:lang w:val="en-US"/>
        </w:rPr>
        <w:t xml:space="preserve"> </w:t>
      </w:r>
      <w:r>
        <w:t xml:space="preserve"> </w:t>
      </w:r>
    </w:p>
  </w:footnote>
  <w:footnote w:id="15">
    <w:p w:rsidR="002D610B" w:rsidRDefault="002D610B" w:rsidP="00A8061C">
      <w:pPr>
        <w:pStyle w:val="FootnoteText"/>
        <w:ind w:left="284" w:hanging="284"/>
      </w:pPr>
      <w:r>
        <w:rPr>
          <w:rStyle w:val="FootnoteReference"/>
        </w:rPr>
        <w:footnoteRef/>
      </w:r>
      <w:r>
        <w:t xml:space="preserve"> </w:t>
      </w:r>
      <w:r>
        <w:tab/>
        <w:t xml:space="preserve">Az EBRD által a fizetésképtelenségi szakértők vonatkozásában készített vizsgálat szintén tartalmaz e tekintetben releváns információkat. A vizsgálat összefoglalója az alábbi linken érhető el: </w:t>
      </w:r>
      <w:hyperlink r:id="rId6" w:history="1">
        <w:r>
          <w:rPr>
            <w:rStyle w:val="Hyperlink"/>
          </w:rPr>
          <w:t>http://assessment.ebrd.com/insolvency-office-holders/2014/report.html</w:t>
        </w:r>
      </w:hyperlink>
      <w:r>
        <w:rPr>
          <w:color w:val="1F497D"/>
        </w:rPr>
        <w:t xml:space="preserve">. </w:t>
      </w:r>
      <w:proofErr w:type="spellStart"/>
      <w:r>
        <w:rPr>
          <w:color w:val="1F497D"/>
        </w:rPr>
        <w:t>Magyarországországprofilja</w:t>
      </w:r>
      <w:proofErr w:type="spellEnd"/>
      <w:r>
        <w:rPr>
          <w:color w:val="1F497D"/>
        </w:rPr>
        <w:t xml:space="preserve">, valamint a magyar szabályozási környezet </w:t>
      </w:r>
      <w:proofErr w:type="spellStart"/>
      <w:r>
        <w:rPr>
          <w:color w:val="1F497D"/>
        </w:rPr>
        <w:t>összefoglalójapedig</w:t>
      </w:r>
      <w:proofErr w:type="spellEnd"/>
      <w:r>
        <w:rPr>
          <w:color w:val="1F497D"/>
        </w:rPr>
        <w:t xml:space="preserve"> az alábbi linken érhető el: </w:t>
      </w:r>
      <w:hyperlink r:id="rId7" w:history="1">
        <w:r>
          <w:rPr>
            <w:rStyle w:val="Hyperlink"/>
          </w:rPr>
          <w:t>http://assessment.ebrd.com/insolvency-office-holders/2014/country-profiles/hungary.html</w:t>
        </w:r>
      </w:hyperlink>
    </w:p>
  </w:footnote>
  <w:footnote w:id="16">
    <w:p w:rsidR="002D610B" w:rsidRPr="00D35B52" w:rsidRDefault="002D610B" w:rsidP="00BF6ACB">
      <w:pPr>
        <w:pStyle w:val="FootnoteText"/>
        <w:ind w:left="284" w:hanging="284"/>
        <w:jc w:val="both"/>
      </w:pPr>
      <w:r>
        <w:rPr>
          <w:rStyle w:val="FootnoteReference"/>
        </w:rPr>
        <w:footnoteRef/>
      </w:r>
      <w:r>
        <w:t xml:space="preserve"> </w:t>
      </w:r>
      <w:r>
        <w:tab/>
        <w:t>Megjegyezzük, hogy ez a probléma nem annyira a csődeljárást érinti, mint inkább a felszámolási eljárást, mivel a csődgondnok nem a csődeljárás végső lebonyolítója.</w:t>
      </w:r>
    </w:p>
  </w:footnote>
  <w:footnote w:id="17">
    <w:p w:rsidR="002D610B" w:rsidRPr="00B97192" w:rsidRDefault="002D610B" w:rsidP="00BF6ACB">
      <w:pPr>
        <w:pStyle w:val="FootnoteText"/>
        <w:ind w:left="284" w:hanging="284"/>
      </w:pPr>
      <w:r>
        <w:rPr>
          <w:rStyle w:val="FootnoteReference"/>
        </w:rPr>
        <w:footnoteRef/>
      </w:r>
      <w:r>
        <w:t xml:space="preserve"> </w:t>
      </w:r>
      <w:r>
        <w:tab/>
        <w:t>A felszámolási ügyeket Budapesten nagyjából 50 bíró kapja meg.</w:t>
      </w:r>
    </w:p>
  </w:footnote>
  <w:footnote w:id="18">
    <w:p w:rsidR="002D610B" w:rsidRPr="00CB5D15" w:rsidRDefault="002D610B" w:rsidP="00BF6ACB">
      <w:pPr>
        <w:pStyle w:val="FootnoteText"/>
        <w:ind w:left="284" w:hanging="284"/>
        <w:jc w:val="both"/>
      </w:pPr>
      <w:r>
        <w:rPr>
          <w:rStyle w:val="FootnoteReference"/>
        </w:rPr>
        <w:footnoteRef/>
      </w:r>
      <w:r>
        <w:t xml:space="preserve"> </w:t>
      </w:r>
      <w:r>
        <w:tab/>
        <w:t xml:space="preserve">Felhívjuk a </w:t>
      </w:r>
      <w:proofErr w:type="gramStart"/>
      <w:r>
        <w:t>figyelmet ,</w:t>
      </w:r>
      <w:proofErr w:type="gramEnd"/>
      <w:r>
        <w:t xml:space="preserve"> hogy az új Polgári Törvénykönyv (2013. évi V. törvény) hatályon kívül helyezte a régi Polgári Törvénykönyvet. Egyes meglévő jogviszonyokra – például a korábbi rendszer keretében kötött biztonsági megállapodásokra – azonban továbbra is a régi Polgári Törvénykönyv alkalmazandó.</w:t>
      </w:r>
    </w:p>
  </w:footnote>
  <w:footnote w:id="19">
    <w:p w:rsidR="002D610B" w:rsidRPr="00CB5D15" w:rsidRDefault="002D610B" w:rsidP="00BF6ACB">
      <w:pPr>
        <w:pStyle w:val="FootnoteText"/>
        <w:ind w:left="284" w:hanging="284"/>
        <w:jc w:val="both"/>
      </w:pPr>
      <w:r>
        <w:rPr>
          <w:rStyle w:val="FootnoteReference"/>
        </w:rPr>
        <w:footnoteRef/>
      </w:r>
      <w:r>
        <w:t xml:space="preserve"> </w:t>
      </w:r>
      <w:r>
        <w:tab/>
        <w:t xml:space="preserve">Felhívjuk a </w:t>
      </w:r>
      <w:proofErr w:type="gramStart"/>
      <w:r>
        <w:t>figyelmet ,</w:t>
      </w:r>
      <w:proofErr w:type="gramEnd"/>
      <w:r>
        <w:t xml:space="preserve"> hogy az új Polgári Törvénykönyv (2013. évi V. törvény) tartalmazza a gazdasági társaságokra vonatkozó rendelkezéseket. Az új Polgári Törvénykönyv ezért hatályon kívül helyezte a 2006. évi IV. törvény rendelkezéseit, amelyek azonban bizonyos mértékben továbbra is alkalmazandók a korábbi rendszer keretében alapított gazdasági társaságokra.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AE6931">
    <w:pPr>
      <w:pStyle w:val="TASSectionheader"/>
      <w:framePr w:wrap="around"/>
    </w:pPr>
    <w:fldSimple w:instr=" STYLEREF  &quot;TAS Section title&quot; ">
      <w:r w:rsidR="003477BD">
        <w:rPr>
          <w:noProof/>
        </w:rPr>
        <w:t>A projekt előzményei</w:t>
      </w:r>
    </w:fldSimple>
  </w:p>
  <w:p w:rsidR="002D610B" w:rsidRDefault="002D610B" w:rsidP="00AE6931">
    <w:pPr>
      <w:pStyle w:val="TASSubsectionheader"/>
      <w:framePr w:wrap="around"/>
    </w:pPr>
    <w:fldSimple w:instr=" STYLEREF  &quot;TAS Subsection&quot; ">
      <w:r w:rsidR="003477BD">
        <w:rPr>
          <w:noProof/>
        </w:rPr>
        <w:t>A projekt előzményei</w:t>
      </w:r>
    </w:fldSimple>
  </w:p>
  <w:p w:rsidR="002D610B" w:rsidRDefault="002D610B" w:rsidP="00AE6931">
    <w:pPr>
      <w:pStyle w:val="TASStrapline"/>
      <w:framePr w:wrap="notBeside"/>
    </w:pPr>
    <w:fldSimple w:instr=" STYLEREF  &quot;TAS Strap line first&quot; ">
      <w:r w:rsidR="003477BD">
        <w:rPr>
          <w:noProof/>
        </w:rPr>
        <w:t>A projekt bemutatása</w:t>
      </w:r>
    </w:fldSimple>
  </w:p>
  <w:p w:rsidR="002D610B" w:rsidRPr="00AE6931" w:rsidRDefault="002D610B" w:rsidP="00AE693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Sectionheader"/>
      <w:framePr w:wrap="around"/>
    </w:pPr>
    <w:r>
      <w:t> </w:t>
    </w:r>
  </w:p>
  <w:p w:rsidR="002D610B" w:rsidRPr="006C789A" w:rsidRDefault="002D610B" w:rsidP="00BF6ACB">
    <w:pPr>
      <w:pStyle w:val="TASBodytext"/>
    </w:pPr>
  </w:p>
  <w:p w:rsidR="002D610B" w:rsidRDefault="002D610B" w:rsidP="00BF6ACB">
    <w:pPr>
      <w:pStyle w:val="TASSectionheader"/>
      <w:framePr w:wrap="around"/>
    </w:pPr>
    <w:r>
      <w:t xml:space="preserve">  </w:t>
    </w:r>
  </w:p>
  <w:p w:rsidR="002D610B" w:rsidRDefault="002D610B" w:rsidP="00BF6ACB">
    <w:pPr>
      <w:pStyle w:val="TASStrapline"/>
      <w:framePr w:wrap="notBeside"/>
    </w:pPr>
    <w:r>
      <w:t>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r>
      <w:t xml:space="preserve">Free text </w:t>
    </w:r>
    <w:proofErr w:type="spellStart"/>
    <w:r>
      <w:t>header</w:t>
    </w:r>
    <w:proofErr w:type="spellEnd"/>
    <w:r>
      <w:t>/</w:t>
    </w:r>
    <w:proofErr w:type="spellStart"/>
    <w:r>
      <w:t>section</w:t>
    </w:r>
    <w:proofErr w:type="spellEnd"/>
    <w:r>
      <w:t xml:space="preserve"> Font </w:t>
    </w:r>
    <w:proofErr w:type="spellStart"/>
    <w:r>
      <w:t>size</w:t>
    </w:r>
    <w:proofErr w:type="spellEnd"/>
    <w:r>
      <w:t xml:space="preserve"> 10pt (</w:t>
    </w:r>
    <w:proofErr w:type="spellStart"/>
    <w:r>
      <w:t>Style</w:t>
    </w:r>
    <w:proofErr w:type="spellEnd"/>
    <w:r>
      <w:t xml:space="preserve"> TAS Text </w:t>
    </w:r>
    <w:proofErr w:type="spellStart"/>
    <w:r>
      <w:t>Header</w:t>
    </w:r>
    <w:proofErr w:type="spellEnd"/>
    <w:r>
      <w:t>)</w:t>
    </w:r>
  </w:p>
  <w:p w:rsidR="002D610B" w:rsidRDefault="002D610B"/>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Sectionheader"/>
      <w:framePr w:wrap="around"/>
    </w:pPr>
    <w:fldSimple w:instr=" STYLEREF  &quot;TAS Section title&quot; ">
      <w:r w:rsidR="003477BD">
        <w:rPr>
          <w:noProof/>
        </w:rPr>
        <w:t>A nemteljesítő hitelek jelentette helyzet elemzése</w:t>
      </w:r>
    </w:fldSimple>
  </w:p>
  <w:p w:rsidR="002D610B" w:rsidRDefault="002D610B" w:rsidP="00BF6ACB">
    <w:pPr>
      <w:pStyle w:val="TASSubsectionheader"/>
      <w:framePr w:wrap="around"/>
    </w:pPr>
    <w:fldSimple w:instr=" STYLEREF  &quot;TAS Subsection&quot; ">
      <w:r w:rsidR="003477BD">
        <w:rPr>
          <w:noProof/>
        </w:rPr>
        <w:t>A jelenlegi NPL-ek jelentette helyzetet kiváltó legfőbb okok</w:t>
      </w:r>
    </w:fldSimple>
  </w:p>
  <w:p w:rsidR="002D610B" w:rsidRDefault="002D610B" w:rsidP="00BF6ACB">
    <w:pPr>
      <w:pStyle w:val="TASStrapline"/>
      <w:framePr w:wrap="notBeside"/>
    </w:pPr>
    <w:fldSimple w:instr=" STYLEREF  &quot;TAS Strap line first&quot; ">
      <w:r w:rsidR="003477BD">
        <w:rPr>
          <w:noProof/>
        </w:rPr>
        <w:t>A magyar bankszektor áttekintése</w:t>
      </w:r>
    </w:fldSimple>
  </w:p>
  <w:p w:rsidR="002D610B" w:rsidRPr="00AE6931" w:rsidRDefault="002D610B" w:rsidP="00BF6AC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Sectionheader"/>
      <w:framePr w:wrap="around"/>
    </w:pPr>
    <w:fldSimple w:instr=" STYLEREF  &quot;TAS Section title&quot; ">
      <w:r w:rsidR="003477BD">
        <w:rPr>
          <w:noProof/>
        </w:rPr>
        <w:t>A nemteljesítő hitelek jelentette helyzet elemzése</w:t>
      </w:r>
    </w:fldSimple>
  </w:p>
  <w:p w:rsidR="002D610B" w:rsidRDefault="002D610B" w:rsidP="00BF6ACB">
    <w:pPr>
      <w:pStyle w:val="TASSubsectionheader"/>
      <w:framePr w:wrap="around"/>
    </w:pPr>
    <w:fldSimple w:instr=" STYLEREF  &quot;TAS Subsection&quot; ">
      <w:r w:rsidR="003477BD">
        <w:rPr>
          <w:noProof/>
        </w:rPr>
        <w:t>A jelenlegi NPL-ek jelentette helyzetet kiváltó legfőbb okok</w:t>
      </w:r>
    </w:fldSimple>
  </w:p>
  <w:p w:rsidR="002D610B" w:rsidRDefault="002D610B" w:rsidP="00BF6ACB">
    <w:pPr>
      <w:pStyle w:val="TASStrapline"/>
      <w:framePr w:wrap="notBeside"/>
    </w:pPr>
    <w:fldSimple w:instr=" STYLEREF  &quot;TAS Strap line first&quot; ">
      <w:r w:rsidR="003477BD">
        <w:rPr>
          <w:noProof/>
        </w:rPr>
        <w:t>Az NPL készletnövekedésének főbb okozói korábbi adatok alapján</w:t>
      </w:r>
    </w:fldSimple>
  </w:p>
  <w:p w:rsidR="002D610B" w:rsidRPr="00AE6931" w:rsidRDefault="002D610B" w:rsidP="00BF6ACB">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Sectionheader"/>
      <w:framePr w:wrap="around"/>
    </w:pPr>
    <w:fldSimple w:instr=" STYLEREF  &quot;TAS Section title&quot; ">
      <w:r w:rsidR="003477BD">
        <w:rPr>
          <w:noProof/>
        </w:rPr>
        <w:t>A nemteljesítő hitelek jelentette helyzet elemzése</w:t>
      </w:r>
    </w:fldSimple>
  </w:p>
  <w:p w:rsidR="002D610B" w:rsidRDefault="002D610B" w:rsidP="00BF6ACB">
    <w:pPr>
      <w:pStyle w:val="TASSubsectionheader"/>
      <w:framePr w:wrap="around"/>
    </w:pPr>
    <w:fldSimple w:instr=" STYLEREF  &quot;TAS Subsection&quot; ">
      <w:r w:rsidR="003477BD">
        <w:rPr>
          <w:noProof/>
        </w:rPr>
        <w:t>A jelenlegi NPL-ek jelentette helyzetet kiváltó legfőbb okok</w:t>
      </w:r>
    </w:fldSimple>
  </w:p>
  <w:p w:rsidR="002D610B" w:rsidRDefault="002D610B" w:rsidP="00BF6ACB">
    <w:pPr>
      <w:pStyle w:val="TASStrapline"/>
      <w:framePr w:wrap="notBeside"/>
    </w:pPr>
    <w:fldSimple w:instr=" STYLEREF  &quot;TAS Strap line first&quot; ">
      <w:r w:rsidR="003477BD">
        <w:rPr>
          <w:noProof/>
        </w:rPr>
        <w:t>Az NPL hitelek aktuálisan meghatározó mutatói vezetőségi interjúk alapján</w:t>
      </w:r>
    </w:fldSimple>
  </w:p>
  <w:p w:rsidR="002D610B" w:rsidRPr="00AE6931" w:rsidRDefault="002D610B" w:rsidP="00BF6AC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Sectionheader"/>
      <w:framePr w:wrap="around"/>
    </w:pPr>
    <w:fldSimple w:instr=" STYLEREF  &quot;TAS Section title&quot; ">
      <w:r w:rsidR="003477BD">
        <w:rPr>
          <w:noProof/>
        </w:rPr>
        <w:t>A nemteljesítő hitelek jelentette helyzet elemzése</w:t>
      </w:r>
    </w:fldSimple>
  </w:p>
  <w:p w:rsidR="002D610B" w:rsidRDefault="002D610B" w:rsidP="00BF6ACB">
    <w:pPr>
      <w:pStyle w:val="TASSubsectionheader"/>
      <w:framePr w:wrap="around"/>
    </w:pPr>
    <w:fldSimple w:instr=" STYLEREF  &quot;TAS Subsection&quot; ">
      <w:r w:rsidR="003477BD">
        <w:rPr>
          <w:noProof/>
        </w:rPr>
        <w:t>Az NPL-portfoliók kezelésének meghatározó tényezői</w:t>
      </w:r>
    </w:fldSimple>
  </w:p>
  <w:p w:rsidR="002D610B" w:rsidRDefault="002D610B" w:rsidP="00BF6ACB">
    <w:pPr>
      <w:pStyle w:val="TASStrapline"/>
      <w:framePr w:wrap="notBeside"/>
    </w:pPr>
    <w:fldSimple w:instr=" STYLEREF  &quot;TAS Strap line first&quot; ">
      <w:r w:rsidR="003477BD">
        <w:rPr>
          <w:noProof/>
        </w:rPr>
        <w:t>A bankok aktuális restrukturálási intézkedései</w:t>
      </w:r>
    </w:fldSimple>
  </w:p>
  <w:p w:rsidR="002D610B" w:rsidRPr="00AE6931" w:rsidRDefault="002D610B" w:rsidP="00BF6AC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Sectionheader"/>
      <w:framePr w:wrap="around"/>
    </w:pPr>
    <w:fldSimple w:instr=" STYLEREF  &quot;TAS Section title&quot; ">
      <w:r w:rsidR="003477BD">
        <w:rPr>
          <w:noProof/>
        </w:rPr>
        <w:t>A nemteljesítő hitelek jelentette helyzet elemzése</w:t>
      </w:r>
    </w:fldSimple>
  </w:p>
  <w:p w:rsidR="002D610B" w:rsidRDefault="002D610B" w:rsidP="00BF6ACB">
    <w:pPr>
      <w:pStyle w:val="TASSubsectionheader"/>
      <w:framePr w:wrap="around"/>
    </w:pPr>
    <w:fldSimple w:instr=" STYLEREF  &quot;TAS Subsection&quot; ">
      <w:r w:rsidR="003477BD">
        <w:rPr>
          <w:noProof/>
        </w:rPr>
        <w:t>Az NPL-portfoliók kezelésének meghatározó tényezői</w:t>
      </w:r>
    </w:fldSimple>
  </w:p>
  <w:p w:rsidR="002D610B" w:rsidRDefault="002D610B" w:rsidP="00BF6ACB">
    <w:pPr>
      <w:pStyle w:val="TASStrapline"/>
      <w:framePr w:wrap="notBeside"/>
    </w:pPr>
    <w:fldSimple w:instr=" STYLEREF  &quot;TAS Strap line first&quot; ">
      <w:r w:rsidR="003477BD">
        <w:rPr>
          <w:noProof/>
        </w:rPr>
        <w:t>A rossz hitelek restrukturálására/kijáratására használt megközelítés</w:t>
      </w:r>
    </w:fldSimple>
  </w:p>
  <w:p w:rsidR="002D610B" w:rsidRPr="00AE6931" w:rsidRDefault="002D610B" w:rsidP="00BF6ACB">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Sectionheader"/>
      <w:framePr w:wrap="around"/>
    </w:pPr>
    <w:fldSimple w:instr=" STYLEREF  &quot;TAS Section title&quot; ">
      <w:r w:rsidR="007206FC">
        <w:rPr>
          <w:noProof/>
        </w:rPr>
        <w:t>A nemteljesítő hitelek jelentette helyzet elemzése</w:t>
      </w:r>
    </w:fldSimple>
  </w:p>
  <w:p w:rsidR="002D610B" w:rsidRDefault="002D610B" w:rsidP="00BF6ACB">
    <w:pPr>
      <w:pStyle w:val="TASSubsectionheader"/>
      <w:framePr w:wrap="around"/>
    </w:pPr>
    <w:fldSimple w:instr=" STYLEREF  &quot;TAS Subsection&quot; ">
      <w:r w:rsidR="007206FC">
        <w:rPr>
          <w:noProof/>
        </w:rPr>
        <w:t>A változás előtt álló legnagyobb akadályok</w:t>
      </w:r>
    </w:fldSimple>
  </w:p>
  <w:p w:rsidR="002D610B" w:rsidRDefault="002D610B" w:rsidP="00BF6ACB">
    <w:pPr>
      <w:pStyle w:val="TASStrapline"/>
      <w:framePr w:wrap="notBeside"/>
    </w:pPr>
    <w:fldSimple w:instr=" STYLEREF  &quot;TAS Strap line first&quot; ">
      <w:r w:rsidR="007206FC">
        <w:rPr>
          <w:noProof/>
        </w:rPr>
        <w:t>Az érintett felek által megnevezett legfőbb akadályok</w:t>
      </w:r>
    </w:fldSimple>
  </w:p>
  <w:p w:rsidR="002D610B" w:rsidRPr="00AE6931" w:rsidRDefault="002D610B" w:rsidP="00BF6ACB">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Sectionheader"/>
      <w:framePr w:wrap="around"/>
    </w:pPr>
    <w:fldSimple w:instr=" STYLEREF  &quot;TAS Section title&quot; ">
      <w:r w:rsidR="007206FC">
        <w:rPr>
          <w:noProof/>
        </w:rPr>
        <w:t>A nemteljesítő hitelek jelentette helyzet elemzése</w:t>
      </w:r>
    </w:fldSimple>
  </w:p>
  <w:p w:rsidR="002D610B" w:rsidRDefault="002D610B" w:rsidP="00BF6ACB">
    <w:pPr>
      <w:pStyle w:val="TASSubsectionheader"/>
      <w:framePr w:wrap="around"/>
    </w:pPr>
    <w:fldSimple w:instr=" STYLEREF  &quot;TAS Subsection&quot; ">
      <w:r w:rsidR="007206FC">
        <w:rPr>
          <w:noProof/>
        </w:rPr>
        <w:t>Az NPL-ek átruházásának kérdésköre</w:t>
      </w:r>
    </w:fldSimple>
  </w:p>
  <w:p w:rsidR="002D610B" w:rsidRDefault="002D610B" w:rsidP="00BF6ACB">
    <w:pPr>
      <w:pStyle w:val="TASStrapline"/>
      <w:framePr w:wrap="notBeside"/>
    </w:pPr>
    <w:fldSimple w:instr=" STYLEREF  &quot;TAS Strap line first&quot; ">
      <w:r w:rsidR="007206FC">
        <w:rPr>
          <w:noProof/>
        </w:rPr>
        <w:t>A likvid másodlagos piac hiánya</w:t>
      </w:r>
    </w:fldSimple>
  </w:p>
  <w:p w:rsidR="002D610B" w:rsidRPr="00AE6931" w:rsidRDefault="002D610B" w:rsidP="00BF6A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Header"/>
      <w:ind w:left="-1620"/>
      <w:jc w:val="center"/>
    </w:pPr>
    <w:r>
      <w:rPr>
        <w:noProof/>
        <w:lang w:bidi="ar-SA"/>
      </w:rPr>
      <w:drawing>
        <wp:inline distT="0" distB="0" distL="0" distR="0" wp14:anchorId="4ABCD523" wp14:editId="49496C4B">
          <wp:extent cx="2189480" cy="1151890"/>
          <wp:effectExtent l="0" t="0" r="0" b="0"/>
          <wp:docPr id="13" name="Picture 1" descr="C:\Users\Gergely.Hezso\Desktop\EBRD blue 15mm (E)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gely.Hezso\Desktop\EBRD blue 15mm (E)_Cro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9480" cy="1151890"/>
                  </a:xfrm>
                  <a:prstGeom prst="rect">
                    <a:avLst/>
                  </a:prstGeom>
                  <a:noFill/>
                  <a:ln>
                    <a:noFill/>
                  </a:ln>
                </pic:spPr>
              </pic:pic>
            </a:graphicData>
          </a:graphic>
        </wp:inline>
      </w:drawing>
    </w:r>
  </w:p>
  <w:p w:rsidR="002D610B" w:rsidRDefault="002D610B" w:rsidP="00BF6ACB">
    <w:pPr>
      <w:pStyle w:val="Header"/>
      <w:ind w:left="-1620"/>
      <w:jc w:val="center"/>
    </w:pPr>
    <w:r>
      <w:rPr>
        <w:noProof/>
        <w:lang w:bidi="ar-SA"/>
      </w:rPr>
      <w:drawing>
        <wp:inline distT="0" distB="0" distL="0" distR="0" wp14:anchorId="20CC4527" wp14:editId="57859CB8">
          <wp:extent cx="527538" cy="540294"/>
          <wp:effectExtent l="0" t="0" r="0" b="0"/>
          <wp:docPr id="14" name="Picture 3" descr="C:\USERS\GERGEL~1.HEZ\APPDATA\LOCAL\TEMP\wz35f1\EY_Logo4_SmallBeam\EY_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RGEL~1.HEZ\APPDATA\LOCAL\TEMP\wz35f1\EY_Logo4_SmallBeam\EY_Logo4.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6936" cy="539678"/>
                  </a:xfrm>
                  <a:prstGeom prst="rect">
                    <a:avLst/>
                  </a:prstGeom>
                  <a:noFill/>
                  <a:ln>
                    <a:noFill/>
                  </a:ln>
                </pic:spPr>
              </pic:pic>
            </a:graphicData>
          </a:graphic>
        </wp:inline>
      </w:drawing>
    </w:r>
  </w:p>
  <w:p w:rsidR="002D610B" w:rsidRDefault="002D610B" w:rsidP="00BF6ACB">
    <w:pPr>
      <w:pStyle w:val="Header"/>
      <w:ind w:left="-1620"/>
      <w:jc w:val="center"/>
    </w:pPr>
  </w:p>
  <w:p w:rsidR="002D610B" w:rsidRDefault="002D610B" w:rsidP="00BF6ACB">
    <w:pPr>
      <w:pStyle w:val="Header"/>
      <w:ind w:left="-1620"/>
      <w:jc w:val="center"/>
    </w:pPr>
    <w:r>
      <w:rPr>
        <w:noProof/>
        <w:lang w:bidi="ar-SA"/>
      </w:rPr>
      <w:drawing>
        <wp:inline distT="0" distB="0" distL="0" distR="0" wp14:anchorId="3BDA177C" wp14:editId="38C3C551">
          <wp:extent cx="2114278" cy="167054"/>
          <wp:effectExtent l="0" t="0" r="0" b="0"/>
          <wp:docPr id="15" name="Picture 2" descr="C:\Users\Gergely.Hezso\Desktop\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gely.Hezso\Desktop\New logo.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17782" cy="167331"/>
                  </a:xfrm>
                  <a:prstGeom prst="rect">
                    <a:avLst/>
                  </a:prstGeom>
                  <a:noFill/>
                  <a:ln>
                    <a:noFill/>
                  </a:ln>
                </pic:spPr>
              </pic:pic>
            </a:graphicData>
          </a:graphic>
        </wp:inline>
      </w:drawing>
    </w:r>
  </w:p>
  <w:p w:rsidR="002D610B" w:rsidRDefault="002D610B" w:rsidP="00BF6ACB">
    <w:pPr>
      <w:pStyle w:val="Header"/>
      <w:ind w:left="-1620"/>
      <w:jc w:val="center"/>
    </w:pPr>
  </w:p>
  <w:p w:rsidR="002D610B" w:rsidRDefault="002D610B" w:rsidP="00BF6ACB">
    <w:pPr>
      <w:pStyle w:val="Header"/>
      <w:ind w:left="-1620"/>
      <w:jc w:val="center"/>
    </w:pPr>
  </w:p>
  <w:p w:rsidR="002D610B" w:rsidRDefault="002D610B" w:rsidP="007C143B">
    <w:pPr>
      <w:pStyle w:val="Header"/>
      <w:spacing w:after="240"/>
      <w:ind w:left="-1622"/>
      <w:jc w:val="center"/>
    </w:pPr>
    <w:r>
      <w:rPr>
        <w:color w:val="1F497D"/>
      </w:rPr>
      <w:t>A jelen magyar fordítás kizárólag általános tájékoztatási céllal készült. Az abban található esetleges ellentmondások és kevéssé világos pontok esetén kérjük, hogy a jelentés eredeti, angol verzióját szíveskedjenek alapul venni.</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Sectionheader"/>
      <w:framePr w:wrap="around"/>
    </w:pPr>
    <w:r>
      <w:t> </w:t>
    </w:r>
  </w:p>
  <w:p w:rsidR="002D610B" w:rsidRPr="006C789A" w:rsidRDefault="002D610B" w:rsidP="00BF6ACB">
    <w:pPr>
      <w:pStyle w:val="TASBodytext"/>
    </w:pPr>
  </w:p>
  <w:p w:rsidR="002D610B" w:rsidRDefault="002D610B" w:rsidP="00BF6ACB">
    <w:pPr>
      <w:pStyle w:val="TASSectionheader"/>
      <w:framePr w:wrap="around"/>
    </w:pPr>
    <w:r>
      <w:t xml:space="preserve">  </w:t>
    </w:r>
  </w:p>
  <w:p w:rsidR="002D610B" w:rsidRDefault="002D610B" w:rsidP="00BF6ACB">
    <w:pPr>
      <w:pStyle w:val="TASStrapline"/>
      <w:framePr w:wrap="notBeside"/>
    </w:pPr>
    <w:r>
      <w:t>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r>
      <w:t xml:space="preserve">Free text </w:t>
    </w:r>
    <w:proofErr w:type="spellStart"/>
    <w:r>
      <w:t>header</w:t>
    </w:r>
    <w:proofErr w:type="spellEnd"/>
    <w:r>
      <w:t>/</w:t>
    </w:r>
    <w:proofErr w:type="spellStart"/>
    <w:r>
      <w:t>section</w:t>
    </w:r>
    <w:proofErr w:type="spellEnd"/>
    <w:r>
      <w:t xml:space="preserve"> Font </w:t>
    </w:r>
    <w:proofErr w:type="spellStart"/>
    <w:r>
      <w:t>size</w:t>
    </w:r>
    <w:proofErr w:type="spellEnd"/>
    <w:r>
      <w:t xml:space="preserve"> 10pt (</w:t>
    </w:r>
    <w:proofErr w:type="spellStart"/>
    <w:r>
      <w:t>Style</w:t>
    </w:r>
    <w:proofErr w:type="spellEnd"/>
    <w:r>
      <w:t xml:space="preserve"> TAS Text </w:t>
    </w:r>
    <w:proofErr w:type="spellStart"/>
    <w:r>
      <w:t>Header</w:t>
    </w:r>
    <w:proofErr w:type="spellEnd"/>
    <w:r>
      <w:t>)</w:t>
    </w:r>
  </w:p>
  <w:p w:rsidR="002D610B" w:rsidRDefault="002D610B"/>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Sectionheader"/>
      <w:framePr w:wrap="around"/>
    </w:pPr>
    <w:fldSimple w:instr=" STYLEREF  &quot;TAS Section title&quot; ">
      <w:r w:rsidR="007206FC">
        <w:rPr>
          <w:noProof/>
        </w:rPr>
        <w:t>Adóelemzés</w:t>
      </w:r>
    </w:fldSimple>
  </w:p>
  <w:p w:rsidR="002D610B" w:rsidRDefault="002D610B" w:rsidP="00BF6ACB">
    <w:pPr>
      <w:pStyle w:val="TASSubsectionheader"/>
      <w:framePr w:wrap="around"/>
    </w:pPr>
    <w:fldSimple w:instr=" STYLEREF  &quot;TAS Subsection&quot; ">
      <w:r w:rsidR="007206FC">
        <w:rPr>
          <w:noProof/>
        </w:rPr>
        <w:t>Adózási megfontolások</w:t>
      </w:r>
    </w:fldSimple>
  </w:p>
  <w:p w:rsidR="002D610B" w:rsidRDefault="002D610B" w:rsidP="00BF6ACB">
    <w:pPr>
      <w:pStyle w:val="TASStrapline"/>
      <w:framePr w:wrap="notBeside"/>
    </w:pPr>
    <w:fldSimple w:instr=" STYLEREF  &quot;TAS Strap line first&quot; ">
      <w:r w:rsidR="007206FC">
        <w:rPr>
          <w:noProof/>
        </w:rPr>
        <w:t>A magyarországi vállalati hitel restrukturálási és felszámolási környezetről készített jelentés</w:t>
      </w:r>
    </w:fldSimple>
  </w:p>
  <w:p w:rsidR="002D610B" w:rsidRPr="00AE6931" w:rsidRDefault="002D610B" w:rsidP="00BF6AC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Sectionheader"/>
      <w:framePr w:wrap="around"/>
    </w:pPr>
    <w:r>
      <w:t> </w:t>
    </w:r>
  </w:p>
  <w:p w:rsidR="002D610B" w:rsidRPr="006C789A" w:rsidRDefault="002D610B" w:rsidP="00BF6ACB">
    <w:pPr>
      <w:pStyle w:val="TASBodytext"/>
    </w:pPr>
  </w:p>
  <w:p w:rsidR="002D610B" w:rsidRDefault="002D610B" w:rsidP="00BF6ACB">
    <w:pPr>
      <w:pStyle w:val="TASSectionheader"/>
      <w:framePr w:wrap="around"/>
    </w:pPr>
    <w:r>
      <w:t xml:space="preserve">  </w:t>
    </w:r>
  </w:p>
  <w:p w:rsidR="002D610B" w:rsidRDefault="002D610B" w:rsidP="00BF6ACB">
    <w:pPr>
      <w:pStyle w:val="TASStrapline"/>
      <w:framePr w:wrap="notBeside"/>
    </w:pPr>
    <w:r>
      <w:t>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r>
      <w:t xml:space="preserve">Free text </w:t>
    </w:r>
    <w:proofErr w:type="spellStart"/>
    <w:r>
      <w:t>header</w:t>
    </w:r>
    <w:proofErr w:type="spellEnd"/>
    <w:r>
      <w:t>/</w:t>
    </w:r>
    <w:proofErr w:type="spellStart"/>
    <w:r>
      <w:t>section</w:t>
    </w:r>
    <w:proofErr w:type="spellEnd"/>
    <w:r>
      <w:t xml:space="preserve"> Font </w:t>
    </w:r>
    <w:proofErr w:type="spellStart"/>
    <w:r>
      <w:t>size</w:t>
    </w:r>
    <w:proofErr w:type="spellEnd"/>
    <w:r>
      <w:t xml:space="preserve"> 10pt (</w:t>
    </w:r>
    <w:proofErr w:type="spellStart"/>
    <w:r>
      <w:t>Style</w:t>
    </w:r>
    <w:proofErr w:type="spellEnd"/>
    <w:r>
      <w:t xml:space="preserve"> TAS Text </w:t>
    </w:r>
    <w:proofErr w:type="spellStart"/>
    <w:r>
      <w:t>Header</w:t>
    </w:r>
    <w:proofErr w:type="spellEnd"/>
    <w:r>
      <w:t>)</w:t>
    </w:r>
  </w:p>
  <w:p w:rsidR="002D610B" w:rsidRDefault="002D610B"/>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Sectionheader"/>
      <w:framePr w:wrap="around"/>
    </w:pPr>
    <w:fldSimple w:instr=" STYLEREF  &quot;TAS Section title&quot; ">
      <w:r w:rsidR="007206FC">
        <w:rPr>
          <w:noProof/>
        </w:rPr>
        <w:t>Jogi háttér</w:t>
      </w:r>
    </w:fldSimple>
  </w:p>
  <w:p w:rsidR="002D610B" w:rsidRDefault="002D610B" w:rsidP="00BF6ACB">
    <w:pPr>
      <w:pStyle w:val="TASSubsectionheader"/>
      <w:framePr w:wrap="around"/>
    </w:pPr>
    <w:fldSimple w:instr=" STYLEREF  &quot;TAS Subsection&quot; ">
      <w:r w:rsidR="007206FC">
        <w:rPr>
          <w:noProof/>
        </w:rPr>
        <w:t>Jogi háttér</w:t>
      </w:r>
    </w:fldSimple>
  </w:p>
  <w:p w:rsidR="002D610B" w:rsidRDefault="002D610B" w:rsidP="00BF6ACB">
    <w:pPr>
      <w:pStyle w:val="TASStrapline"/>
      <w:framePr w:wrap="notBeside"/>
    </w:pPr>
    <w:fldSimple w:instr=" STYLEREF  &quot;TAS Strap line first&quot; ">
      <w:r w:rsidR="007206FC">
        <w:rPr>
          <w:noProof/>
        </w:rPr>
        <w:t>A jogi környezet leírása</w:t>
      </w:r>
    </w:fldSimple>
  </w:p>
  <w:p w:rsidR="002D610B" w:rsidRPr="00AE6931" w:rsidRDefault="002D610B" w:rsidP="00BF6AC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Sectionheader"/>
      <w:framePr w:wrap="around"/>
    </w:pPr>
    <w:r>
      <w:t> </w:t>
    </w:r>
  </w:p>
  <w:p w:rsidR="002D610B" w:rsidRPr="006C789A" w:rsidRDefault="002D610B" w:rsidP="00BF6ACB">
    <w:pPr>
      <w:pStyle w:val="TASBodytext"/>
    </w:pPr>
  </w:p>
  <w:p w:rsidR="002D610B" w:rsidRDefault="002D610B" w:rsidP="00BF6ACB">
    <w:pPr>
      <w:pStyle w:val="TASSectionheader"/>
      <w:framePr w:wrap="around"/>
    </w:pPr>
    <w:r>
      <w:t xml:space="preserve">  </w:t>
    </w:r>
  </w:p>
  <w:p w:rsidR="002D610B" w:rsidRDefault="002D610B" w:rsidP="00BF6ACB">
    <w:pPr>
      <w:pStyle w:val="TASStrapline"/>
      <w:framePr w:wrap="notBeside"/>
    </w:pPr>
    <w:r>
      <w:t>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r>
      <w:t xml:space="preserve">Free text </w:t>
    </w:r>
    <w:proofErr w:type="spellStart"/>
    <w:r>
      <w:t>header</w:t>
    </w:r>
    <w:proofErr w:type="spellEnd"/>
    <w:r>
      <w:t>/</w:t>
    </w:r>
    <w:proofErr w:type="spellStart"/>
    <w:r>
      <w:t>section</w:t>
    </w:r>
    <w:proofErr w:type="spellEnd"/>
    <w:r>
      <w:t xml:space="preserve"> Font </w:t>
    </w:r>
    <w:proofErr w:type="spellStart"/>
    <w:r>
      <w:t>size</w:t>
    </w:r>
    <w:proofErr w:type="spellEnd"/>
    <w:r>
      <w:t xml:space="preserve"> 10pt (</w:t>
    </w:r>
    <w:proofErr w:type="spellStart"/>
    <w:r>
      <w:t>Style</w:t>
    </w:r>
    <w:proofErr w:type="spellEnd"/>
    <w:r>
      <w:t xml:space="preserve"> TAS Text </w:t>
    </w:r>
    <w:proofErr w:type="spellStart"/>
    <w:r>
      <w:t>Header</w:t>
    </w:r>
    <w:proofErr w:type="spellEnd"/>
    <w:r>
      <w:t>)</w:t>
    </w:r>
  </w:p>
  <w:p w:rsidR="002D610B" w:rsidRDefault="002D610B"/>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Sectionheader"/>
      <w:framePr w:wrap="around"/>
    </w:pPr>
    <w:fldSimple w:instr=" STYLEREF  &quot;TAS Section title&quot; ">
      <w:r w:rsidR="007206FC">
        <w:rPr>
          <w:noProof/>
        </w:rPr>
        <w:t>Gyakorlati jogi problémák és javaslatok</w:t>
      </w:r>
    </w:fldSimple>
  </w:p>
  <w:p w:rsidR="002D610B" w:rsidRDefault="002D610B" w:rsidP="00BF6ACB">
    <w:pPr>
      <w:pStyle w:val="TASSubsectionheader"/>
      <w:framePr w:wrap="around"/>
    </w:pPr>
    <w:fldSimple w:instr=" STYLEREF  &quot;TAS Subsection&quot; ">
      <w:r w:rsidR="007206FC">
        <w:rPr>
          <w:noProof/>
        </w:rPr>
        <w:t>Fő problémák és potenciális megoldási lehetőségek</w:t>
      </w:r>
    </w:fldSimple>
  </w:p>
  <w:p w:rsidR="002D610B" w:rsidRDefault="002D610B" w:rsidP="00BF6ACB">
    <w:pPr>
      <w:pStyle w:val="TASStrapline"/>
      <w:framePr w:wrap="notBeside"/>
    </w:pPr>
    <w:fldSimple w:instr=" STYLEREF  &quot;TAS Strap line first&quot; ">
      <w:r w:rsidR="007206FC">
        <w:rPr>
          <w:noProof/>
        </w:rPr>
        <w:t>A változást akadályozó fő problémák és ezek lehetséges megoldásai</w:t>
      </w:r>
    </w:fldSimple>
  </w:p>
  <w:p w:rsidR="002D610B" w:rsidRPr="00AE6931" w:rsidRDefault="002D610B" w:rsidP="00BF6ACB">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Sectionheader"/>
      <w:framePr w:wrap="around"/>
    </w:pPr>
    <w:r>
      <w:t> </w:t>
    </w:r>
  </w:p>
  <w:p w:rsidR="002D610B" w:rsidRPr="006C789A" w:rsidRDefault="002D610B" w:rsidP="00BF6ACB">
    <w:pPr>
      <w:pStyle w:val="TASBodytext"/>
    </w:pPr>
  </w:p>
  <w:p w:rsidR="002D610B" w:rsidRDefault="002D610B" w:rsidP="00BF6ACB">
    <w:pPr>
      <w:pStyle w:val="TASSectionheader"/>
      <w:framePr w:wrap="around"/>
    </w:pPr>
    <w:r>
      <w:t xml:space="preserve">  </w:t>
    </w:r>
  </w:p>
  <w:p w:rsidR="002D610B" w:rsidRDefault="002D610B" w:rsidP="00BF6ACB">
    <w:pPr>
      <w:pStyle w:val="TASStrapline"/>
      <w:framePr w:wrap="notBeside"/>
    </w:pPr>
    <w:r>
      <w:t>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r>
      <w:t xml:space="preserve">Free text </w:t>
    </w:r>
    <w:proofErr w:type="spellStart"/>
    <w:r>
      <w:t>header</w:t>
    </w:r>
    <w:proofErr w:type="spellEnd"/>
    <w:r>
      <w:t>/</w:t>
    </w:r>
    <w:proofErr w:type="spellStart"/>
    <w:r>
      <w:t>section</w:t>
    </w:r>
    <w:proofErr w:type="spellEnd"/>
    <w:r>
      <w:t xml:space="preserve"> Font </w:t>
    </w:r>
    <w:proofErr w:type="spellStart"/>
    <w:r>
      <w:t>size</w:t>
    </w:r>
    <w:proofErr w:type="spellEnd"/>
    <w:r>
      <w:t xml:space="preserve"> 10pt (</w:t>
    </w:r>
    <w:proofErr w:type="spellStart"/>
    <w:r>
      <w:t>Style</w:t>
    </w:r>
    <w:proofErr w:type="spellEnd"/>
    <w:r>
      <w:t xml:space="preserve"> TAS Text </w:t>
    </w:r>
    <w:proofErr w:type="spellStart"/>
    <w:r>
      <w:t>Header</w:t>
    </w:r>
    <w:proofErr w:type="spellEnd"/>
    <w:r>
      <w:t>)</w:t>
    </w:r>
  </w:p>
  <w:p w:rsidR="002D610B" w:rsidRDefault="002D610B"/>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Sectionheader"/>
      <w:framePr w:wrap="around"/>
    </w:pPr>
    <w:fldSimple w:instr=" STYLEREF  &quot;TAS Section title&quot; ">
      <w:r w:rsidR="003477BD">
        <w:rPr>
          <w:noProof/>
        </w:rPr>
        <w:t>Mellékletek</w:t>
      </w:r>
    </w:fldSimple>
  </w:p>
  <w:p w:rsidR="002D610B" w:rsidRDefault="002D610B" w:rsidP="00BF6ACB">
    <w:pPr>
      <w:pStyle w:val="TASSubsectionheader"/>
      <w:framePr w:wrap="around"/>
    </w:pPr>
    <w:fldSimple w:instr=" STYLEREF  &quot;TAS Subsection&quot; ">
      <w:r w:rsidR="003477BD">
        <w:rPr>
          <w:noProof/>
        </w:rPr>
        <w:t>A melléklet</w:t>
      </w:r>
    </w:fldSimple>
  </w:p>
  <w:p w:rsidR="002D610B" w:rsidRDefault="002D610B" w:rsidP="00BF6ACB">
    <w:pPr>
      <w:pStyle w:val="TASStrapline"/>
      <w:framePr w:wrap="notBeside"/>
    </w:pPr>
    <w:fldSimple w:instr=" STYLEREF  &quot;TAS Strap line first&quot; ">
      <w:r w:rsidR="003477BD">
        <w:rPr>
          <w:noProof/>
        </w:rPr>
        <w:t>VONATKOZÓ JOGSZABÁLYOK ÉS RENDELETEK LISTÁJA</w:t>
      </w:r>
    </w:fldSimple>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Sectionheader"/>
      <w:framePr w:wrap="around"/>
    </w:pPr>
    <w:fldSimple w:instr=" STYLEREF  &quot;TAS Section title&quot; ">
      <w:r w:rsidR="003477BD">
        <w:rPr>
          <w:noProof/>
        </w:rPr>
        <w:t>Mellékletek</w:t>
      </w:r>
    </w:fldSimple>
  </w:p>
  <w:p w:rsidR="002D610B" w:rsidRDefault="002D610B" w:rsidP="00BF6ACB">
    <w:pPr>
      <w:pStyle w:val="TASSubsectionheader"/>
      <w:framePr w:wrap="around"/>
    </w:pPr>
    <w:fldSimple w:instr=" STYLEREF  &quot;TAS Subsection&quot; ">
      <w:r w:rsidR="003477BD">
        <w:rPr>
          <w:noProof/>
        </w:rPr>
        <w:t>C melléklet</w:t>
      </w:r>
    </w:fldSimple>
  </w:p>
  <w:p w:rsidR="002D610B" w:rsidRDefault="002D610B" w:rsidP="00BF6ACB">
    <w:pPr>
      <w:pStyle w:val="TASStrapline"/>
      <w:framePr w:wrap="notBeside"/>
    </w:pPr>
    <w:fldSimple w:instr=" STYLEREF  &quot;TAS Strap line first&quot; ">
      <w:r w:rsidR="003477BD">
        <w:rPr>
          <w:noProof/>
        </w:rPr>
        <w:t>A FELSZÁMOLÁSI ELJÁRÁS ALAPLÉPÉSEINEK FOLYMATÁBRÁJA</w:t>
      </w:r>
    </w:fldSimple>
  </w:p>
  <w:p w:rsidR="002D610B" w:rsidRPr="009244CE" w:rsidRDefault="002D610B" w:rsidP="00BF6ACB">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Sectionheader"/>
      <w:framePr w:wrap="around"/>
    </w:pPr>
    <w:fldSimple w:instr=" STYLEREF  &quot;TAS Section title&quot; ">
      <w:r w:rsidR="007206FC">
        <w:rPr>
          <w:noProof/>
        </w:rPr>
        <w:t>Mellékletek</w:t>
      </w:r>
    </w:fldSimple>
  </w:p>
  <w:p w:rsidR="002D610B" w:rsidRDefault="002D610B" w:rsidP="00BF6ACB">
    <w:pPr>
      <w:pStyle w:val="TASSubsectionheader"/>
      <w:framePr w:wrap="around"/>
    </w:pPr>
    <w:fldSimple w:instr=" STYLEREF  &quot;TAS Subsection&quot; ">
      <w:r w:rsidR="007206FC">
        <w:rPr>
          <w:noProof/>
        </w:rPr>
        <w:t>D Melléklet</w:t>
      </w:r>
    </w:fldSimple>
  </w:p>
  <w:p w:rsidR="002D610B" w:rsidRDefault="002D610B" w:rsidP="00BF6ACB">
    <w:pPr>
      <w:pStyle w:val="TASStrapline"/>
      <w:framePr w:wrap="notBeside"/>
    </w:pPr>
    <w:fldSimple w:instr=" STYLEREF  &quot;TAS Strap line first&quot; ">
      <w:r w:rsidR="007206FC">
        <w:rPr>
          <w:noProof/>
        </w:rPr>
        <w:t>A PÉNZÜGYI, SZÁMVITELI, ADÓ- ÉS JOGÜGYI INTERJÚKÉRDÉSEK LISTÁJA</w:t>
      </w:r>
    </w:fldSimple>
  </w:p>
  <w:p w:rsidR="002D610B" w:rsidRPr="009244CE" w:rsidRDefault="002D610B" w:rsidP="00BF6ACB">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Sectionheader"/>
      <w:framePr w:wrap="around"/>
    </w:pPr>
    <w:fldSimple w:instr=" STYLEREF  &quot;TAS Section title&quot; ">
      <w:r w:rsidR="007206FC">
        <w:rPr>
          <w:noProof/>
        </w:rPr>
        <w:t>Mellékletek</w:t>
      </w:r>
    </w:fldSimple>
  </w:p>
  <w:p w:rsidR="002D610B" w:rsidRDefault="002D610B" w:rsidP="00BF6ACB">
    <w:pPr>
      <w:pStyle w:val="TASSubsectionheader"/>
      <w:framePr w:wrap="around"/>
    </w:pPr>
    <w:fldSimple w:instr=" STYLEREF  &quot;TAS Subsection&quot; ">
      <w:r w:rsidR="007206FC">
        <w:rPr>
          <w:noProof/>
        </w:rPr>
        <w:t>E Melléklet</w:t>
      </w:r>
    </w:fldSimple>
  </w:p>
  <w:p w:rsidR="002D610B" w:rsidRDefault="002D610B" w:rsidP="00BF6ACB">
    <w:pPr>
      <w:pStyle w:val="TASStrapline"/>
      <w:framePr w:wrap="notBeside"/>
    </w:pPr>
    <w:fldSimple w:instr=" STYLEREF  &quot;TAS Strap line first&quot; ">
      <w:r w:rsidR="007206FC">
        <w:rPr>
          <w:noProof/>
        </w:rPr>
        <w:t>Rövidítések</w:t>
      </w:r>
    </w:fldSimple>
  </w:p>
  <w:p w:rsidR="002D610B" w:rsidRPr="009244CE" w:rsidRDefault="002D610B" w:rsidP="00BF6A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Pr="00E475AE" w:rsidRDefault="002D610B" w:rsidP="00BF6ACB">
    <w:pPr>
      <w:pStyle w:val="TASSectionheader"/>
      <w:framePr w:wrap="around"/>
    </w:pPr>
    <w:r>
      <w:t> </w:t>
    </w:r>
  </w:p>
  <w:p w:rsidR="002D610B" w:rsidRPr="00196DB2" w:rsidRDefault="002D610B" w:rsidP="00BF6ACB">
    <w:pPr>
      <w:pStyle w:val="TASStrapline"/>
      <w:framePr w:wrap="notBeside"/>
    </w:pPr>
    <w:r>
      <w:t>Tartalomjegyzék</w:t>
    </w:r>
  </w:p>
  <w:p w:rsidR="002D610B" w:rsidRPr="00032559" w:rsidRDefault="002D610B" w:rsidP="00BF6ACB">
    <w:pPr>
      <w:pStyle w:val="TASSectionheader"/>
      <w:framePr w:wrap="around"/>
    </w:pPr>
  </w:p>
  <w:p w:rsidR="002D610B" w:rsidRPr="00B339D4" w:rsidRDefault="002D610B" w:rsidP="00BF6ACB">
    <w:pPr>
      <w:pStyle w:val="Header"/>
      <w:tabs>
        <w:tab w:val="clear" w:pos="4680"/>
        <w:tab w:val="clear" w:pos="9360"/>
        <w:tab w:val="left" w:pos="2515"/>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Sectionheader"/>
      <w:framePr w:wrap="around"/>
    </w:pPr>
    <w:fldSimple w:instr=" STYLEREF  &quot;TAS Section title&quot; ">
      <w:r w:rsidR="007206FC">
        <w:rPr>
          <w:noProof/>
        </w:rPr>
        <w:t>Vezetői összefoglaló</w:t>
      </w:r>
    </w:fldSimple>
  </w:p>
  <w:p w:rsidR="002D610B" w:rsidRPr="00324A73" w:rsidRDefault="002D610B" w:rsidP="00324A73">
    <w:pPr>
      <w:pStyle w:val="TASBodytext"/>
    </w:pPr>
  </w:p>
  <w:p w:rsidR="002D610B" w:rsidRDefault="002D610B" w:rsidP="00BF6ACB">
    <w:pPr>
      <w:pStyle w:val="TASSubsectionheader"/>
      <w:framePr w:wrap="around"/>
    </w:pPr>
    <w:fldSimple w:instr=" STYLEREF  &quot;TAS Subsection&quot; ">
      <w:r w:rsidR="007206FC">
        <w:rPr>
          <w:noProof/>
        </w:rPr>
        <w:t>A projekt előzményei</w:t>
      </w:r>
    </w:fldSimple>
  </w:p>
  <w:p w:rsidR="002D610B" w:rsidRPr="00AE6931" w:rsidRDefault="002D610B" w:rsidP="00BF6ACB">
    <w:pPr>
      <w:pStyle w:val="Header"/>
      <w:tabs>
        <w:tab w:val="left" w:pos="9547"/>
      </w:tabs>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pPr>
      <w:pStyle w:val="TASSectionheader"/>
      <w:framePr w:wrap="around"/>
    </w:pPr>
    <w:r>
      <w:t> </w:t>
    </w:r>
  </w:p>
  <w:p w:rsidR="002D610B" w:rsidRPr="006C789A" w:rsidRDefault="002D610B" w:rsidP="00BF6ACB">
    <w:pPr>
      <w:pStyle w:val="TASBodytext"/>
    </w:pPr>
  </w:p>
  <w:p w:rsidR="002D610B" w:rsidRDefault="002D610B" w:rsidP="00BF6ACB">
    <w:pPr>
      <w:pStyle w:val="TASSectionheader"/>
      <w:framePr w:wrap="around"/>
    </w:pPr>
    <w:r>
      <w:t xml:space="preserve">  </w:t>
    </w:r>
  </w:p>
  <w:p w:rsidR="002D610B" w:rsidRDefault="002D610B" w:rsidP="00BF6ACB">
    <w:pPr>
      <w:pStyle w:val="TASStrapline"/>
      <w:framePr w:wrap="notBeside"/>
    </w:pPr>
    <w:r>
      <w:t>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10B" w:rsidRDefault="002D610B" w:rsidP="00BF6ACB">
    <w:r>
      <w:t xml:space="preserve">Free text </w:t>
    </w:r>
    <w:proofErr w:type="spellStart"/>
    <w:r>
      <w:t>header</w:t>
    </w:r>
    <w:proofErr w:type="spellEnd"/>
    <w:r>
      <w:t>/</w:t>
    </w:r>
    <w:proofErr w:type="spellStart"/>
    <w:r>
      <w:t>section</w:t>
    </w:r>
    <w:proofErr w:type="spellEnd"/>
    <w:r>
      <w:t xml:space="preserve"> Font </w:t>
    </w:r>
    <w:proofErr w:type="spellStart"/>
    <w:r>
      <w:t>size</w:t>
    </w:r>
    <w:proofErr w:type="spellEnd"/>
    <w:r>
      <w:t xml:space="preserve"> 10pt (</w:t>
    </w:r>
    <w:proofErr w:type="spellStart"/>
    <w:r>
      <w:t>Style</w:t>
    </w:r>
    <w:proofErr w:type="spellEnd"/>
    <w:r>
      <w:t xml:space="preserve"> TAS Text </w:t>
    </w:r>
    <w:proofErr w:type="spellStart"/>
    <w:r>
      <w:t>Header</w:t>
    </w:r>
    <w:proofErr w:type="spellEnd"/>
    <w:r>
      <w:t>)</w:t>
    </w:r>
  </w:p>
  <w:p w:rsidR="002D610B" w:rsidRDefault="002D610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6D046E"/>
    <w:multiLevelType w:val="hybridMultilevel"/>
    <w:tmpl w:val="681A1F8A"/>
    <w:lvl w:ilvl="0" w:tplc="42EE2332">
      <w:start w:val="1"/>
      <w:numFmt w:val="bullet"/>
      <w:lvlText w:val="►"/>
      <w:lvlJc w:val="left"/>
      <w:pPr>
        <w:tabs>
          <w:tab w:val="num" w:pos="720"/>
        </w:tabs>
        <w:ind w:left="720" w:hanging="360"/>
      </w:pPr>
      <w:rPr>
        <w:rFonts w:ascii="Arial" w:hAnsi="Arial" w:hint="default"/>
        <w:sz w:val="20"/>
        <w:szCs w:val="20"/>
      </w:rPr>
    </w:lvl>
    <w:lvl w:ilvl="1" w:tplc="3DB6BE0A" w:tentative="1">
      <w:start w:val="1"/>
      <w:numFmt w:val="bullet"/>
      <w:lvlText w:val="►"/>
      <w:lvlJc w:val="left"/>
      <w:pPr>
        <w:tabs>
          <w:tab w:val="num" w:pos="1440"/>
        </w:tabs>
        <w:ind w:left="1440" w:hanging="360"/>
      </w:pPr>
      <w:rPr>
        <w:rFonts w:ascii="Arial" w:hAnsi="Arial" w:hint="default"/>
      </w:rPr>
    </w:lvl>
    <w:lvl w:ilvl="2" w:tplc="207A69F2" w:tentative="1">
      <w:start w:val="1"/>
      <w:numFmt w:val="bullet"/>
      <w:lvlText w:val="►"/>
      <w:lvlJc w:val="left"/>
      <w:pPr>
        <w:tabs>
          <w:tab w:val="num" w:pos="2160"/>
        </w:tabs>
        <w:ind w:left="2160" w:hanging="360"/>
      </w:pPr>
      <w:rPr>
        <w:rFonts w:ascii="Arial" w:hAnsi="Arial" w:hint="default"/>
      </w:rPr>
    </w:lvl>
    <w:lvl w:ilvl="3" w:tplc="C1DCBEA6" w:tentative="1">
      <w:start w:val="1"/>
      <w:numFmt w:val="bullet"/>
      <w:lvlText w:val="►"/>
      <w:lvlJc w:val="left"/>
      <w:pPr>
        <w:tabs>
          <w:tab w:val="num" w:pos="2880"/>
        </w:tabs>
        <w:ind w:left="2880" w:hanging="360"/>
      </w:pPr>
      <w:rPr>
        <w:rFonts w:ascii="Arial" w:hAnsi="Arial" w:hint="default"/>
      </w:rPr>
    </w:lvl>
    <w:lvl w:ilvl="4" w:tplc="6EB20B18" w:tentative="1">
      <w:start w:val="1"/>
      <w:numFmt w:val="bullet"/>
      <w:lvlText w:val="►"/>
      <w:lvlJc w:val="left"/>
      <w:pPr>
        <w:tabs>
          <w:tab w:val="num" w:pos="3600"/>
        </w:tabs>
        <w:ind w:left="3600" w:hanging="360"/>
      </w:pPr>
      <w:rPr>
        <w:rFonts w:ascii="Arial" w:hAnsi="Arial" w:hint="default"/>
      </w:rPr>
    </w:lvl>
    <w:lvl w:ilvl="5" w:tplc="E6840488" w:tentative="1">
      <w:start w:val="1"/>
      <w:numFmt w:val="bullet"/>
      <w:lvlText w:val="►"/>
      <w:lvlJc w:val="left"/>
      <w:pPr>
        <w:tabs>
          <w:tab w:val="num" w:pos="4320"/>
        </w:tabs>
        <w:ind w:left="4320" w:hanging="360"/>
      </w:pPr>
      <w:rPr>
        <w:rFonts w:ascii="Arial" w:hAnsi="Arial" w:hint="default"/>
      </w:rPr>
    </w:lvl>
    <w:lvl w:ilvl="6" w:tplc="3448F730" w:tentative="1">
      <w:start w:val="1"/>
      <w:numFmt w:val="bullet"/>
      <w:lvlText w:val="►"/>
      <w:lvlJc w:val="left"/>
      <w:pPr>
        <w:tabs>
          <w:tab w:val="num" w:pos="5040"/>
        </w:tabs>
        <w:ind w:left="5040" w:hanging="360"/>
      </w:pPr>
      <w:rPr>
        <w:rFonts w:ascii="Arial" w:hAnsi="Arial" w:hint="default"/>
      </w:rPr>
    </w:lvl>
    <w:lvl w:ilvl="7" w:tplc="931C18D2" w:tentative="1">
      <w:start w:val="1"/>
      <w:numFmt w:val="bullet"/>
      <w:lvlText w:val="►"/>
      <w:lvlJc w:val="left"/>
      <w:pPr>
        <w:tabs>
          <w:tab w:val="num" w:pos="5760"/>
        </w:tabs>
        <w:ind w:left="5760" w:hanging="360"/>
      </w:pPr>
      <w:rPr>
        <w:rFonts w:ascii="Arial" w:hAnsi="Arial" w:hint="default"/>
      </w:rPr>
    </w:lvl>
    <w:lvl w:ilvl="8" w:tplc="9D601D2E" w:tentative="1">
      <w:start w:val="1"/>
      <w:numFmt w:val="bullet"/>
      <w:lvlText w:val="►"/>
      <w:lvlJc w:val="left"/>
      <w:pPr>
        <w:tabs>
          <w:tab w:val="num" w:pos="6480"/>
        </w:tabs>
        <w:ind w:left="6480" w:hanging="360"/>
      </w:pPr>
      <w:rPr>
        <w:rFonts w:ascii="Arial" w:hAnsi="Arial" w:hint="default"/>
      </w:rPr>
    </w:lvl>
  </w:abstractNum>
  <w:abstractNum w:abstractNumId="1">
    <w:nsid w:val="8B6F60DD"/>
    <w:multiLevelType w:val="hybridMultilevel"/>
    <w:tmpl w:val="841228E0"/>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nsid w:val="936B6BE9"/>
    <w:multiLevelType w:val="multilevel"/>
    <w:tmpl w:val="6464D7EC"/>
    <w:lvl w:ilvl="0">
      <w:start w:val="1"/>
      <w:numFmt w:val="bullet"/>
      <w:lvlText w:val="►"/>
      <w:lvlJc w:val="left"/>
      <w:pPr>
        <w:ind w:left="288" w:hanging="288"/>
      </w:pPr>
      <w:rPr>
        <w:rFonts w:ascii="Arial" w:hAnsi="Arial" w:hint="default"/>
        <w:color w:val="808080" w:themeColor="accent1"/>
        <w:spacing w:val="0"/>
        <w:w w:val="70"/>
        <w:position w:val="0"/>
        <w:sz w:val="20"/>
      </w:rPr>
    </w:lvl>
    <w:lvl w:ilvl="1">
      <w:start w:val="1"/>
      <w:numFmt w:val="none"/>
      <w:lvlText w:val="–"/>
      <w:lvlJc w:val="left"/>
      <w:pPr>
        <w:ind w:left="576" w:hanging="288"/>
      </w:pPr>
      <w:rPr>
        <w:rFonts w:hint="default"/>
        <w:color w:val="808080" w:themeColor="accent1"/>
      </w:rPr>
    </w:lvl>
    <w:lvl w:ilvl="2">
      <w:start w:val="1"/>
      <w:numFmt w:val="lowerRoman"/>
      <w:lvlText w:val="%3)"/>
      <w:lvlJc w:val="left"/>
      <w:pPr>
        <w:ind w:left="864" w:hanging="288"/>
      </w:pPr>
      <w:rPr>
        <w:rFonts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3">
    <w:nsid w:val="B3140D0C"/>
    <w:multiLevelType w:val="multilevel"/>
    <w:tmpl w:val="6464D7EC"/>
    <w:lvl w:ilvl="0">
      <w:start w:val="1"/>
      <w:numFmt w:val="bullet"/>
      <w:lvlText w:val="►"/>
      <w:lvlJc w:val="left"/>
      <w:pPr>
        <w:ind w:left="288" w:hanging="288"/>
      </w:pPr>
      <w:rPr>
        <w:rFonts w:ascii="Arial" w:hAnsi="Arial" w:hint="default"/>
        <w:color w:val="808080" w:themeColor="accent1"/>
        <w:spacing w:val="0"/>
        <w:w w:val="70"/>
        <w:position w:val="0"/>
        <w:sz w:val="20"/>
      </w:rPr>
    </w:lvl>
    <w:lvl w:ilvl="1">
      <w:start w:val="1"/>
      <w:numFmt w:val="none"/>
      <w:lvlText w:val="–"/>
      <w:lvlJc w:val="left"/>
      <w:pPr>
        <w:ind w:left="576" w:hanging="288"/>
      </w:pPr>
      <w:rPr>
        <w:rFonts w:hint="default"/>
        <w:color w:val="808080" w:themeColor="accent1"/>
      </w:rPr>
    </w:lvl>
    <w:lvl w:ilvl="2">
      <w:start w:val="1"/>
      <w:numFmt w:val="lowerRoman"/>
      <w:lvlText w:val="%3)"/>
      <w:lvlJc w:val="left"/>
      <w:pPr>
        <w:ind w:left="864" w:hanging="288"/>
      </w:pPr>
      <w:rPr>
        <w:rFonts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4">
    <w:nsid w:val="BC8ADD84"/>
    <w:multiLevelType w:val="hybridMultilevel"/>
    <w:tmpl w:val="731438AC"/>
    <w:lvl w:ilvl="0" w:tplc="8F0C3F7A">
      <w:start w:val="1"/>
      <w:numFmt w:val="bullet"/>
      <w:lvlText w:val="►"/>
      <w:lvlJc w:val="left"/>
      <w:pPr>
        <w:tabs>
          <w:tab w:val="num" w:pos="720"/>
        </w:tabs>
        <w:ind w:left="720" w:hanging="360"/>
      </w:pPr>
      <w:rPr>
        <w:rFonts w:ascii="Arial" w:hAnsi="Arial" w:hint="default"/>
        <w:sz w:val="20"/>
        <w:szCs w:val="20"/>
      </w:rPr>
    </w:lvl>
    <w:lvl w:ilvl="1" w:tplc="2DACA7D0" w:tentative="1">
      <w:start w:val="1"/>
      <w:numFmt w:val="bullet"/>
      <w:lvlText w:val="►"/>
      <w:lvlJc w:val="left"/>
      <w:pPr>
        <w:tabs>
          <w:tab w:val="num" w:pos="1440"/>
        </w:tabs>
        <w:ind w:left="1440" w:hanging="360"/>
      </w:pPr>
      <w:rPr>
        <w:rFonts w:ascii="Arial" w:hAnsi="Arial" w:hint="default"/>
      </w:rPr>
    </w:lvl>
    <w:lvl w:ilvl="2" w:tplc="609A6D16" w:tentative="1">
      <w:start w:val="1"/>
      <w:numFmt w:val="bullet"/>
      <w:lvlText w:val="►"/>
      <w:lvlJc w:val="left"/>
      <w:pPr>
        <w:tabs>
          <w:tab w:val="num" w:pos="2160"/>
        </w:tabs>
        <w:ind w:left="2160" w:hanging="360"/>
      </w:pPr>
      <w:rPr>
        <w:rFonts w:ascii="Arial" w:hAnsi="Arial" w:hint="default"/>
      </w:rPr>
    </w:lvl>
    <w:lvl w:ilvl="3" w:tplc="5F108406" w:tentative="1">
      <w:start w:val="1"/>
      <w:numFmt w:val="bullet"/>
      <w:lvlText w:val="►"/>
      <w:lvlJc w:val="left"/>
      <w:pPr>
        <w:tabs>
          <w:tab w:val="num" w:pos="2880"/>
        </w:tabs>
        <w:ind w:left="2880" w:hanging="360"/>
      </w:pPr>
      <w:rPr>
        <w:rFonts w:ascii="Arial" w:hAnsi="Arial" w:hint="default"/>
      </w:rPr>
    </w:lvl>
    <w:lvl w:ilvl="4" w:tplc="4DF66438" w:tentative="1">
      <w:start w:val="1"/>
      <w:numFmt w:val="bullet"/>
      <w:lvlText w:val="►"/>
      <w:lvlJc w:val="left"/>
      <w:pPr>
        <w:tabs>
          <w:tab w:val="num" w:pos="3600"/>
        </w:tabs>
        <w:ind w:left="3600" w:hanging="360"/>
      </w:pPr>
      <w:rPr>
        <w:rFonts w:ascii="Arial" w:hAnsi="Arial" w:hint="default"/>
      </w:rPr>
    </w:lvl>
    <w:lvl w:ilvl="5" w:tplc="50B4679E" w:tentative="1">
      <w:start w:val="1"/>
      <w:numFmt w:val="bullet"/>
      <w:lvlText w:val="►"/>
      <w:lvlJc w:val="left"/>
      <w:pPr>
        <w:tabs>
          <w:tab w:val="num" w:pos="4320"/>
        </w:tabs>
        <w:ind w:left="4320" w:hanging="360"/>
      </w:pPr>
      <w:rPr>
        <w:rFonts w:ascii="Arial" w:hAnsi="Arial" w:hint="default"/>
      </w:rPr>
    </w:lvl>
    <w:lvl w:ilvl="6" w:tplc="9A9AAA6E" w:tentative="1">
      <w:start w:val="1"/>
      <w:numFmt w:val="bullet"/>
      <w:lvlText w:val="►"/>
      <w:lvlJc w:val="left"/>
      <w:pPr>
        <w:tabs>
          <w:tab w:val="num" w:pos="5040"/>
        </w:tabs>
        <w:ind w:left="5040" w:hanging="360"/>
      </w:pPr>
      <w:rPr>
        <w:rFonts w:ascii="Arial" w:hAnsi="Arial" w:hint="default"/>
      </w:rPr>
    </w:lvl>
    <w:lvl w:ilvl="7" w:tplc="C73E2424" w:tentative="1">
      <w:start w:val="1"/>
      <w:numFmt w:val="bullet"/>
      <w:lvlText w:val="►"/>
      <w:lvlJc w:val="left"/>
      <w:pPr>
        <w:tabs>
          <w:tab w:val="num" w:pos="5760"/>
        </w:tabs>
        <w:ind w:left="5760" w:hanging="360"/>
      </w:pPr>
      <w:rPr>
        <w:rFonts w:ascii="Arial" w:hAnsi="Arial" w:hint="default"/>
      </w:rPr>
    </w:lvl>
    <w:lvl w:ilvl="8" w:tplc="DB3E9D22" w:tentative="1">
      <w:start w:val="1"/>
      <w:numFmt w:val="bullet"/>
      <w:lvlText w:val="►"/>
      <w:lvlJc w:val="left"/>
      <w:pPr>
        <w:tabs>
          <w:tab w:val="num" w:pos="6480"/>
        </w:tabs>
        <w:ind w:left="6480" w:hanging="360"/>
      </w:pPr>
      <w:rPr>
        <w:rFonts w:ascii="Arial" w:hAnsi="Arial" w:hint="default"/>
      </w:rPr>
    </w:lvl>
  </w:abstractNum>
  <w:abstractNum w:abstractNumId="5">
    <w:nsid w:val="C44AC7E9"/>
    <w:multiLevelType w:val="multilevel"/>
    <w:tmpl w:val="02689370"/>
    <w:lvl w:ilvl="0">
      <w:start w:val="2"/>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CF0A1C70"/>
    <w:multiLevelType w:val="multilevel"/>
    <w:tmpl w:val="6464D7EC"/>
    <w:lvl w:ilvl="0">
      <w:start w:val="1"/>
      <w:numFmt w:val="bullet"/>
      <w:lvlText w:val="►"/>
      <w:lvlJc w:val="left"/>
      <w:pPr>
        <w:ind w:left="288" w:hanging="288"/>
      </w:pPr>
      <w:rPr>
        <w:rFonts w:ascii="Arial" w:hAnsi="Arial" w:hint="default"/>
        <w:color w:val="808080" w:themeColor="accent1"/>
        <w:spacing w:val="0"/>
        <w:w w:val="70"/>
        <w:position w:val="0"/>
        <w:sz w:val="20"/>
      </w:rPr>
    </w:lvl>
    <w:lvl w:ilvl="1">
      <w:start w:val="1"/>
      <w:numFmt w:val="none"/>
      <w:lvlText w:val="–"/>
      <w:lvlJc w:val="left"/>
      <w:pPr>
        <w:ind w:left="576" w:hanging="288"/>
      </w:pPr>
      <w:rPr>
        <w:rFonts w:hint="default"/>
        <w:color w:val="808080" w:themeColor="accent1"/>
      </w:rPr>
    </w:lvl>
    <w:lvl w:ilvl="2">
      <w:start w:val="1"/>
      <w:numFmt w:val="lowerRoman"/>
      <w:lvlText w:val="%3)"/>
      <w:lvlJc w:val="left"/>
      <w:pPr>
        <w:ind w:left="864" w:hanging="288"/>
      </w:pPr>
      <w:rPr>
        <w:rFonts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7">
    <w:nsid w:val="D4D1F83E"/>
    <w:multiLevelType w:val="multilevel"/>
    <w:tmpl w:val="6464D7EC"/>
    <w:lvl w:ilvl="0">
      <w:start w:val="1"/>
      <w:numFmt w:val="bullet"/>
      <w:lvlText w:val="►"/>
      <w:lvlJc w:val="left"/>
      <w:pPr>
        <w:ind w:left="288" w:hanging="288"/>
      </w:pPr>
      <w:rPr>
        <w:rFonts w:ascii="Arial" w:hAnsi="Arial" w:hint="default"/>
        <w:color w:val="808080" w:themeColor="accent1"/>
        <w:spacing w:val="0"/>
        <w:w w:val="70"/>
        <w:position w:val="0"/>
        <w:sz w:val="20"/>
      </w:rPr>
    </w:lvl>
    <w:lvl w:ilvl="1">
      <w:start w:val="1"/>
      <w:numFmt w:val="none"/>
      <w:lvlText w:val="–"/>
      <w:lvlJc w:val="left"/>
      <w:pPr>
        <w:ind w:left="576" w:hanging="288"/>
      </w:pPr>
      <w:rPr>
        <w:rFonts w:hint="default"/>
        <w:color w:val="808080" w:themeColor="accent1"/>
      </w:rPr>
    </w:lvl>
    <w:lvl w:ilvl="2">
      <w:start w:val="1"/>
      <w:numFmt w:val="lowerRoman"/>
      <w:lvlText w:val="%3)"/>
      <w:lvlJc w:val="left"/>
      <w:pPr>
        <w:ind w:left="864" w:hanging="288"/>
      </w:pPr>
      <w:rPr>
        <w:rFonts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8">
    <w:nsid w:val="DECFB499"/>
    <w:multiLevelType w:val="multilevel"/>
    <w:tmpl w:val="6464D7EC"/>
    <w:lvl w:ilvl="0">
      <w:start w:val="1"/>
      <w:numFmt w:val="bullet"/>
      <w:lvlText w:val="►"/>
      <w:lvlJc w:val="left"/>
      <w:pPr>
        <w:ind w:left="288" w:hanging="288"/>
      </w:pPr>
      <w:rPr>
        <w:rFonts w:ascii="Arial" w:hAnsi="Arial" w:hint="default"/>
        <w:color w:val="808080" w:themeColor="accent1"/>
        <w:spacing w:val="0"/>
        <w:w w:val="70"/>
        <w:position w:val="0"/>
        <w:sz w:val="20"/>
      </w:rPr>
    </w:lvl>
    <w:lvl w:ilvl="1">
      <w:start w:val="1"/>
      <w:numFmt w:val="none"/>
      <w:lvlText w:val="–"/>
      <w:lvlJc w:val="left"/>
      <w:pPr>
        <w:ind w:left="576" w:hanging="288"/>
      </w:pPr>
      <w:rPr>
        <w:rFonts w:hint="default"/>
        <w:color w:val="808080" w:themeColor="accent1"/>
      </w:rPr>
    </w:lvl>
    <w:lvl w:ilvl="2">
      <w:start w:val="1"/>
      <w:numFmt w:val="lowerRoman"/>
      <w:lvlText w:val="%3)"/>
      <w:lvlJc w:val="left"/>
      <w:pPr>
        <w:ind w:left="864" w:hanging="288"/>
      </w:pPr>
      <w:rPr>
        <w:rFonts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9">
    <w:nsid w:val="E58A65AE"/>
    <w:multiLevelType w:val="multilevel"/>
    <w:tmpl w:val="53BE00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F3E70654"/>
    <w:multiLevelType w:val="multilevel"/>
    <w:tmpl w:val="6464D7EC"/>
    <w:lvl w:ilvl="0">
      <w:start w:val="1"/>
      <w:numFmt w:val="bullet"/>
      <w:lvlText w:val="►"/>
      <w:lvlJc w:val="left"/>
      <w:pPr>
        <w:ind w:left="288" w:hanging="288"/>
      </w:pPr>
      <w:rPr>
        <w:rFonts w:ascii="Arial" w:hAnsi="Arial" w:hint="default"/>
        <w:color w:val="808080" w:themeColor="accent1"/>
        <w:spacing w:val="0"/>
        <w:w w:val="70"/>
        <w:position w:val="0"/>
        <w:sz w:val="20"/>
      </w:rPr>
    </w:lvl>
    <w:lvl w:ilvl="1">
      <w:start w:val="1"/>
      <w:numFmt w:val="none"/>
      <w:lvlText w:val="–"/>
      <w:lvlJc w:val="left"/>
      <w:pPr>
        <w:ind w:left="576" w:hanging="288"/>
      </w:pPr>
      <w:rPr>
        <w:rFonts w:hint="default"/>
        <w:color w:val="808080" w:themeColor="accent1"/>
      </w:rPr>
    </w:lvl>
    <w:lvl w:ilvl="2">
      <w:start w:val="1"/>
      <w:numFmt w:val="lowerRoman"/>
      <w:lvlText w:val="%3)"/>
      <w:lvlJc w:val="left"/>
      <w:pPr>
        <w:ind w:left="864" w:hanging="288"/>
      </w:pPr>
      <w:rPr>
        <w:rFonts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11">
    <w:nsid w:val="F7B56333"/>
    <w:multiLevelType w:val="hybridMultilevel"/>
    <w:tmpl w:val="C33A387C"/>
    <w:lvl w:ilvl="0" w:tplc="3CD4E226">
      <w:start w:val="1"/>
      <w:numFmt w:val="bullet"/>
      <w:lvlText w:val="►"/>
      <w:lvlJc w:val="left"/>
      <w:pPr>
        <w:tabs>
          <w:tab w:val="num" w:pos="720"/>
        </w:tabs>
        <w:ind w:left="720" w:hanging="360"/>
      </w:pPr>
      <w:rPr>
        <w:rFonts w:ascii="Arial" w:hAnsi="Arial" w:hint="default"/>
        <w:sz w:val="20"/>
        <w:szCs w:val="20"/>
      </w:rPr>
    </w:lvl>
    <w:lvl w:ilvl="1" w:tplc="84005302" w:tentative="1">
      <w:start w:val="1"/>
      <w:numFmt w:val="bullet"/>
      <w:lvlText w:val="►"/>
      <w:lvlJc w:val="left"/>
      <w:pPr>
        <w:tabs>
          <w:tab w:val="num" w:pos="1440"/>
        </w:tabs>
        <w:ind w:left="1440" w:hanging="360"/>
      </w:pPr>
      <w:rPr>
        <w:rFonts w:ascii="Arial" w:hAnsi="Arial" w:hint="default"/>
      </w:rPr>
    </w:lvl>
    <w:lvl w:ilvl="2" w:tplc="D9B458D4" w:tentative="1">
      <w:start w:val="1"/>
      <w:numFmt w:val="bullet"/>
      <w:lvlText w:val="►"/>
      <w:lvlJc w:val="left"/>
      <w:pPr>
        <w:tabs>
          <w:tab w:val="num" w:pos="2160"/>
        </w:tabs>
        <w:ind w:left="2160" w:hanging="360"/>
      </w:pPr>
      <w:rPr>
        <w:rFonts w:ascii="Arial" w:hAnsi="Arial" w:hint="default"/>
      </w:rPr>
    </w:lvl>
    <w:lvl w:ilvl="3" w:tplc="31BEB28E" w:tentative="1">
      <w:start w:val="1"/>
      <w:numFmt w:val="bullet"/>
      <w:lvlText w:val="►"/>
      <w:lvlJc w:val="left"/>
      <w:pPr>
        <w:tabs>
          <w:tab w:val="num" w:pos="2880"/>
        </w:tabs>
        <w:ind w:left="2880" w:hanging="360"/>
      </w:pPr>
      <w:rPr>
        <w:rFonts w:ascii="Arial" w:hAnsi="Arial" w:hint="default"/>
      </w:rPr>
    </w:lvl>
    <w:lvl w:ilvl="4" w:tplc="9F5AD87C" w:tentative="1">
      <w:start w:val="1"/>
      <w:numFmt w:val="bullet"/>
      <w:lvlText w:val="►"/>
      <w:lvlJc w:val="left"/>
      <w:pPr>
        <w:tabs>
          <w:tab w:val="num" w:pos="3600"/>
        </w:tabs>
        <w:ind w:left="3600" w:hanging="360"/>
      </w:pPr>
      <w:rPr>
        <w:rFonts w:ascii="Arial" w:hAnsi="Arial" w:hint="default"/>
      </w:rPr>
    </w:lvl>
    <w:lvl w:ilvl="5" w:tplc="CEF6285C" w:tentative="1">
      <w:start w:val="1"/>
      <w:numFmt w:val="bullet"/>
      <w:lvlText w:val="►"/>
      <w:lvlJc w:val="left"/>
      <w:pPr>
        <w:tabs>
          <w:tab w:val="num" w:pos="4320"/>
        </w:tabs>
        <w:ind w:left="4320" w:hanging="360"/>
      </w:pPr>
      <w:rPr>
        <w:rFonts w:ascii="Arial" w:hAnsi="Arial" w:hint="default"/>
      </w:rPr>
    </w:lvl>
    <w:lvl w:ilvl="6" w:tplc="D7020284" w:tentative="1">
      <w:start w:val="1"/>
      <w:numFmt w:val="bullet"/>
      <w:lvlText w:val="►"/>
      <w:lvlJc w:val="left"/>
      <w:pPr>
        <w:tabs>
          <w:tab w:val="num" w:pos="5040"/>
        </w:tabs>
        <w:ind w:left="5040" w:hanging="360"/>
      </w:pPr>
      <w:rPr>
        <w:rFonts w:ascii="Arial" w:hAnsi="Arial" w:hint="default"/>
      </w:rPr>
    </w:lvl>
    <w:lvl w:ilvl="7" w:tplc="DA4C4F4A" w:tentative="1">
      <w:start w:val="1"/>
      <w:numFmt w:val="bullet"/>
      <w:lvlText w:val="►"/>
      <w:lvlJc w:val="left"/>
      <w:pPr>
        <w:tabs>
          <w:tab w:val="num" w:pos="5760"/>
        </w:tabs>
        <w:ind w:left="5760" w:hanging="360"/>
      </w:pPr>
      <w:rPr>
        <w:rFonts w:ascii="Arial" w:hAnsi="Arial" w:hint="default"/>
      </w:rPr>
    </w:lvl>
    <w:lvl w:ilvl="8" w:tplc="2F321494" w:tentative="1">
      <w:start w:val="1"/>
      <w:numFmt w:val="bullet"/>
      <w:lvlText w:val="►"/>
      <w:lvlJc w:val="left"/>
      <w:pPr>
        <w:tabs>
          <w:tab w:val="num" w:pos="6480"/>
        </w:tabs>
        <w:ind w:left="6480" w:hanging="360"/>
      </w:pPr>
      <w:rPr>
        <w:rFonts w:ascii="Arial" w:hAnsi="Arial" w:hint="default"/>
      </w:rPr>
    </w:lvl>
  </w:abstractNum>
  <w:abstractNum w:abstractNumId="12">
    <w:nsid w:val="F97CCEA6"/>
    <w:multiLevelType w:val="hybridMultilevel"/>
    <w:tmpl w:val="C052B1C8"/>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3">
    <w:nsid w:val="007A791B"/>
    <w:multiLevelType w:val="hybridMultilevel"/>
    <w:tmpl w:val="996E8868"/>
    <w:lvl w:ilvl="0" w:tplc="BAD04928">
      <w:start w:val="9"/>
      <w:numFmt w:val="decimal"/>
      <w:lvlText w:val="3.%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01F1C192"/>
    <w:multiLevelType w:val="hybridMultilevel"/>
    <w:tmpl w:val="1DCC8E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53D1559"/>
    <w:multiLevelType w:val="hybridMultilevel"/>
    <w:tmpl w:val="385EF00A"/>
    <w:lvl w:ilvl="0" w:tplc="8520B670">
      <w:start w:val="1"/>
      <w:numFmt w:val="decimal"/>
      <w:lvlText w:val="8.%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05AB1B63"/>
    <w:multiLevelType w:val="hybridMultilevel"/>
    <w:tmpl w:val="C7DE2EDA"/>
    <w:lvl w:ilvl="0" w:tplc="E8966E32">
      <w:start w:val="1"/>
      <w:numFmt w:val="decimal"/>
      <w:lvlText w:val="1.%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0B9223CF"/>
    <w:multiLevelType w:val="hybridMultilevel"/>
    <w:tmpl w:val="D65878A8"/>
    <w:lvl w:ilvl="0" w:tplc="99F0392E">
      <w:start w:val="10"/>
      <w:numFmt w:val="decimal"/>
      <w:lvlText w:val="3.%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0DDA0F89"/>
    <w:multiLevelType w:val="multilevel"/>
    <w:tmpl w:val="AC78E908"/>
    <w:lvl w:ilvl="0">
      <w:start w:val="1"/>
      <w:numFmt w:val="decimal"/>
      <w:pStyle w:val="Szmozs"/>
      <w:isLg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3.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none"/>
      <w:lvlRestart w:val="3"/>
      <w:lvlText w:val="1)"/>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0DFE0408"/>
    <w:multiLevelType w:val="hybridMultilevel"/>
    <w:tmpl w:val="907425C0"/>
    <w:lvl w:ilvl="0" w:tplc="260E4BAE">
      <w:start w:val="10"/>
      <w:numFmt w:val="decimal"/>
      <w:lvlText w:val="4.%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0E7D07EA"/>
    <w:multiLevelType w:val="hybridMultilevel"/>
    <w:tmpl w:val="39C0C754"/>
    <w:lvl w:ilvl="0" w:tplc="6A20DF42">
      <w:numFmt w:val="bullet"/>
      <w:pStyle w:val="Listaszerbekezds2"/>
      <w:lvlText w:val="-"/>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0EC667F6"/>
    <w:multiLevelType w:val="multilevel"/>
    <w:tmpl w:val="E806CDD0"/>
    <w:lvl w:ilvl="0">
      <w:start w:val="1"/>
      <w:numFmt w:val="decimal"/>
      <w:pStyle w:val="TASTOC3"/>
      <w:lvlText w:val="%1."/>
      <w:lvlJc w:val="left"/>
      <w:pPr>
        <w:ind w:left="3917" w:hanging="360"/>
      </w:pPr>
      <w:rPr>
        <w:rFonts w:ascii="Arial" w:hAnsi="Arial" w:hint="default"/>
        <w:b w:val="0"/>
        <w:i w:val="0"/>
        <w:color w:val="auto"/>
        <w:sz w:val="20"/>
      </w:rPr>
    </w:lvl>
    <w:lvl w:ilvl="1">
      <w:start w:val="2"/>
      <w:numFmt w:val="decimal"/>
      <w:isLgl/>
      <w:lvlText w:val="%1.%2"/>
      <w:lvlJc w:val="left"/>
      <w:pPr>
        <w:ind w:left="3917" w:hanging="360"/>
      </w:pPr>
      <w:rPr>
        <w:rFonts w:hint="default"/>
      </w:rPr>
    </w:lvl>
    <w:lvl w:ilvl="2">
      <w:start w:val="1"/>
      <w:numFmt w:val="decimal"/>
      <w:isLgl/>
      <w:lvlText w:val="%1.%2.%3"/>
      <w:lvlJc w:val="left"/>
      <w:pPr>
        <w:ind w:left="4277" w:hanging="720"/>
      </w:pPr>
      <w:rPr>
        <w:rFonts w:hint="default"/>
      </w:rPr>
    </w:lvl>
    <w:lvl w:ilvl="3">
      <w:start w:val="1"/>
      <w:numFmt w:val="decimal"/>
      <w:isLgl/>
      <w:lvlText w:val="%1.%2.%3.%4"/>
      <w:lvlJc w:val="left"/>
      <w:pPr>
        <w:ind w:left="4277" w:hanging="720"/>
      </w:pPr>
      <w:rPr>
        <w:rFonts w:hint="default"/>
      </w:rPr>
    </w:lvl>
    <w:lvl w:ilvl="4">
      <w:start w:val="1"/>
      <w:numFmt w:val="decimal"/>
      <w:isLgl/>
      <w:lvlText w:val="%1.%2.%3.%4.%5"/>
      <w:lvlJc w:val="left"/>
      <w:pPr>
        <w:ind w:left="4637" w:hanging="1080"/>
      </w:pPr>
      <w:rPr>
        <w:rFonts w:hint="default"/>
      </w:rPr>
    </w:lvl>
    <w:lvl w:ilvl="5">
      <w:start w:val="1"/>
      <w:numFmt w:val="decimal"/>
      <w:isLgl/>
      <w:lvlText w:val="%1.%2.%3.%4.%5.%6"/>
      <w:lvlJc w:val="left"/>
      <w:pPr>
        <w:ind w:left="4637" w:hanging="1080"/>
      </w:pPr>
      <w:rPr>
        <w:rFonts w:hint="default"/>
      </w:rPr>
    </w:lvl>
    <w:lvl w:ilvl="6">
      <w:start w:val="1"/>
      <w:numFmt w:val="decimal"/>
      <w:isLgl/>
      <w:lvlText w:val="%1.%2.%3.%4.%5.%6.%7"/>
      <w:lvlJc w:val="left"/>
      <w:pPr>
        <w:ind w:left="4997" w:hanging="1440"/>
      </w:pPr>
      <w:rPr>
        <w:rFonts w:hint="default"/>
      </w:rPr>
    </w:lvl>
    <w:lvl w:ilvl="7">
      <w:start w:val="1"/>
      <w:numFmt w:val="decimal"/>
      <w:isLgl/>
      <w:lvlText w:val="%1.%2.%3.%4.%5.%6.%7.%8"/>
      <w:lvlJc w:val="left"/>
      <w:pPr>
        <w:ind w:left="4997" w:hanging="1440"/>
      </w:pPr>
      <w:rPr>
        <w:rFonts w:hint="default"/>
      </w:rPr>
    </w:lvl>
    <w:lvl w:ilvl="8">
      <w:start w:val="1"/>
      <w:numFmt w:val="decimal"/>
      <w:isLgl/>
      <w:lvlText w:val="%1.%2.%3.%4.%5.%6.%7.%8.%9"/>
      <w:lvlJc w:val="left"/>
      <w:pPr>
        <w:ind w:left="5357" w:hanging="1800"/>
      </w:pPr>
      <w:rPr>
        <w:rFonts w:hint="default"/>
      </w:rPr>
    </w:lvl>
  </w:abstractNum>
  <w:abstractNum w:abstractNumId="22">
    <w:nsid w:val="0FDE6AF1"/>
    <w:multiLevelType w:val="hybridMultilevel"/>
    <w:tmpl w:val="452E5720"/>
    <w:lvl w:ilvl="0" w:tplc="B442C514">
      <w:start w:val="1"/>
      <w:numFmt w:val="decimal"/>
      <w:lvlText w:val="6.%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nsid w:val="105CB418"/>
    <w:multiLevelType w:val="multilevel"/>
    <w:tmpl w:val="6464D7EC"/>
    <w:lvl w:ilvl="0">
      <w:start w:val="1"/>
      <w:numFmt w:val="bullet"/>
      <w:lvlText w:val="►"/>
      <w:lvlJc w:val="left"/>
      <w:pPr>
        <w:ind w:left="288" w:hanging="288"/>
      </w:pPr>
      <w:rPr>
        <w:rFonts w:ascii="Arial" w:hAnsi="Arial" w:hint="default"/>
        <w:color w:val="808080" w:themeColor="accent1"/>
        <w:spacing w:val="0"/>
        <w:w w:val="70"/>
        <w:position w:val="0"/>
        <w:sz w:val="20"/>
      </w:rPr>
    </w:lvl>
    <w:lvl w:ilvl="1">
      <w:start w:val="1"/>
      <w:numFmt w:val="none"/>
      <w:lvlText w:val="–"/>
      <w:lvlJc w:val="left"/>
      <w:pPr>
        <w:ind w:left="576" w:hanging="288"/>
      </w:pPr>
      <w:rPr>
        <w:rFonts w:hint="default"/>
        <w:color w:val="808080" w:themeColor="accent1"/>
      </w:rPr>
    </w:lvl>
    <w:lvl w:ilvl="2">
      <w:start w:val="1"/>
      <w:numFmt w:val="lowerRoman"/>
      <w:lvlText w:val="%3)"/>
      <w:lvlJc w:val="left"/>
      <w:pPr>
        <w:ind w:left="864" w:hanging="288"/>
      </w:pPr>
      <w:rPr>
        <w:rFonts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24">
    <w:nsid w:val="107914D9"/>
    <w:multiLevelType w:val="hybridMultilevel"/>
    <w:tmpl w:val="3640BB24"/>
    <w:lvl w:ilvl="0" w:tplc="58261862">
      <w:start w:val="1"/>
      <w:numFmt w:val="decimal"/>
      <w:lvlText w:val="8.%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132A78DF"/>
    <w:multiLevelType w:val="multilevel"/>
    <w:tmpl w:val="7F3A7998"/>
    <w:styleLink w:val="TASLetterbulletlist"/>
    <w:lvl w:ilvl="0">
      <w:start w:val="1"/>
      <w:numFmt w:val="bullet"/>
      <w:pStyle w:val="TASLetterbullet1"/>
      <w:lvlText w:val="–"/>
      <w:lvlJc w:val="left"/>
      <w:pPr>
        <w:tabs>
          <w:tab w:val="num" w:pos="288"/>
        </w:tabs>
        <w:ind w:left="288" w:hanging="288"/>
      </w:pPr>
      <w:rPr>
        <w:rFonts w:ascii="Arial" w:hAnsi="Arial" w:hint="default"/>
        <w:color w:val="808080" w:themeColor="accent1"/>
      </w:rPr>
    </w:lvl>
    <w:lvl w:ilvl="1">
      <w:start w:val="1"/>
      <w:numFmt w:val="bullet"/>
      <w:pStyle w:val="TASLetterbullet2"/>
      <w:lvlText w:val="–"/>
      <w:lvlJc w:val="left"/>
      <w:pPr>
        <w:tabs>
          <w:tab w:val="num" w:pos="576"/>
        </w:tabs>
        <w:ind w:left="576" w:hanging="288"/>
      </w:pPr>
      <w:rPr>
        <w:rFonts w:ascii="Arial" w:hAnsi="Arial" w:hint="default"/>
        <w:color w:val="808080" w:themeColor="accent1"/>
      </w:rPr>
    </w:lvl>
    <w:lvl w:ilvl="2">
      <w:start w:val="1"/>
      <w:numFmt w:val="bullet"/>
      <w:lvlText w:val=""/>
      <w:lvlJc w:val="left"/>
      <w:pPr>
        <w:ind w:left="864" w:hanging="288"/>
      </w:pPr>
      <w:rPr>
        <w:rFonts w:ascii="Wingdings" w:hAnsi="Wingdings" w:hint="default"/>
      </w:rPr>
    </w:lvl>
    <w:lvl w:ilvl="3">
      <w:start w:val="1"/>
      <w:numFmt w:val="bullet"/>
      <w:lvlText w:val=""/>
      <w:lvlJc w:val="left"/>
      <w:pPr>
        <w:ind w:left="1152" w:hanging="288"/>
      </w:pPr>
      <w:rPr>
        <w:rFonts w:ascii="Symbol" w:hAnsi="Symbol" w:hint="default"/>
      </w:rPr>
    </w:lvl>
    <w:lvl w:ilvl="4">
      <w:start w:val="1"/>
      <w:numFmt w:val="bullet"/>
      <w:lvlText w:val="o"/>
      <w:lvlJc w:val="left"/>
      <w:pPr>
        <w:ind w:left="1440" w:hanging="288"/>
      </w:pPr>
      <w:rPr>
        <w:rFonts w:ascii="Courier New" w:hAnsi="Courier New" w:cs="Courier New" w:hint="default"/>
      </w:rPr>
    </w:lvl>
    <w:lvl w:ilvl="5">
      <w:start w:val="1"/>
      <w:numFmt w:val="bullet"/>
      <w:lvlText w:val=""/>
      <w:lvlJc w:val="left"/>
      <w:pPr>
        <w:ind w:left="1728" w:hanging="288"/>
      </w:pPr>
      <w:rPr>
        <w:rFonts w:ascii="Wingdings" w:hAnsi="Wingdings" w:hint="default"/>
      </w:rPr>
    </w:lvl>
    <w:lvl w:ilvl="6">
      <w:start w:val="1"/>
      <w:numFmt w:val="bullet"/>
      <w:lvlText w:val=""/>
      <w:lvlJc w:val="left"/>
      <w:pPr>
        <w:ind w:left="2016" w:hanging="288"/>
      </w:pPr>
      <w:rPr>
        <w:rFonts w:ascii="Symbol" w:hAnsi="Symbol" w:hint="default"/>
      </w:rPr>
    </w:lvl>
    <w:lvl w:ilvl="7">
      <w:start w:val="1"/>
      <w:numFmt w:val="bullet"/>
      <w:lvlText w:val="o"/>
      <w:lvlJc w:val="left"/>
      <w:pPr>
        <w:ind w:left="2304" w:hanging="288"/>
      </w:pPr>
      <w:rPr>
        <w:rFonts w:ascii="Courier New" w:hAnsi="Courier New" w:cs="Courier New" w:hint="default"/>
      </w:rPr>
    </w:lvl>
    <w:lvl w:ilvl="8">
      <w:start w:val="1"/>
      <w:numFmt w:val="bullet"/>
      <w:lvlText w:val=""/>
      <w:lvlJc w:val="left"/>
      <w:pPr>
        <w:ind w:left="2592" w:hanging="288"/>
      </w:pPr>
      <w:rPr>
        <w:rFonts w:ascii="Wingdings" w:hAnsi="Wingdings" w:hint="default"/>
      </w:rPr>
    </w:lvl>
  </w:abstractNum>
  <w:abstractNum w:abstractNumId="26">
    <w:nsid w:val="136D63A5"/>
    <w:multiLevelType w:val="multilevel"/>
    <w:tmpl w:val="2480BFBC"/>
    <w:styleLink w:val="Hierarchikuslista"/>
    <w:lvl w:ilvl="0">
      <w:start w:val="1"/>
      <w:numFmt w:val="upperLetter"/>
      <w:lvlText w:val="%1."/>
      <w:lvlJc w:val="left"/>
      <w:pPr>
        <w:ind w:left="360" w:hanging="360"/>
      </w:pPr>
      <w:rPr>
        <w:rFonts w:hint="default"/>
      </w:rPr>
    </w:lvl>
    <w:lvl w:ilvl="1">
      <w:start w:val="1"/>
      <w:numFmt w:val="upp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14CD40EA"/>
    <w:multiLevelType w:val="hybridMultilevel"/>
    <w:tmpl w:val="311EB8CC"/>
    <w:lvl w:ilvl="0" w:tplc="9320A63E">
      <w:start w:val="6"/>
      <w:numFmt w:val="decimal"/>
      <w:lvlText w:val="3.%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nsid w:val="165A36EF"/>
    <w:multiLevelType w:val="hybridMultilevel"/>
    <w:tmpl w:val="7278E2B8"/>
    <w:lvl w:ilvl="0" w:tplc="510C9838">
      <w:start w:val="1"/>
      <w:numFmt w:val="decimal"/>
      <w:lvlText w:val="8.%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nsid w:val="17721CCF"/>
    <w:multiLevelType w:val="hybridMultilevel"/>
    <w:tmpl w:val="FC96AC80"/>
    <w:lvl w:ilvl="0" w:tplc="5B1A86A4">
      <w:start w:val="1"/>
      <w:numFmt w:val="lowerLetter"/>
      <w:pStyle w:val="Listabetve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nsid w:val="1B04270E"/>
    <w:multiLevelType w:val="hybridMultilevel"/>
    <w:tmpl w:val="E8BAC71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1B536B36"/>
    <w:multiLevelType w:val="hybridMultilevel"/>
    <w:tmpl w:val="5ACA66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nsid w:val="1C7325BE"/>
    <w:multiLevelType w:val="hybridMultilevel"/>
    <w:tmpl w:val="2C18F354"/>
    <w:lvl w:ilvl="0" w:tplc="2C981108">
      <w:start w:val="1"/>
      <w:numFmt w:val="decimal"/>
      <w:lvlText w:val="7.%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nsid w:val="1D2676CC"/>
    <w:multiLevelType w:val="hybridMultilevel"/>
    <w:tmpl w:val="6A247FA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nsid w:val="1D6618D3"/>
    <w:multiLevelType w:val="hybridMultilevel"/>
    <w:tmpl w:val="9CCA89AA"/>
    <w:lvl w:ilvl="0" w:tplc="DF404DE2">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1E2472CC"/>
    <w:multiLevelType w:val="multilevel"/>
    <w:tmpl w:val="CA14DDAE"/>
    <w:styleLink w:val="TASTablebulletliststyle"/>
    <w:lvl w:ilvl="0">
      <w:start w:val="1"/>
      <w:numFmt w:val="bullet"/>
      <w:pStyle w:val="TASTablebullet1"/>
      <w:lvlText w:val="►"/>
      <w:lvlJc w:val="left"/>
      <w:pPr>
        <w:tabs>
          <w:tab w:val="num" w:pos="144"/>
        </w:tabs>
        <w:ind w:left="144" w:hanging="144"/>
      </w:pPr>
      <w:rPr>
        <w:rFonts w:ascii="Arial" w:hAnsi="Arial" w:hint="default"/>
        <w:b w:val="0"/>
        <w:i w:val="0"/>
        <w:color w:val="808080" w:themeColor="accent1"/>
        <w:w w:val="70"/>
        <w:sz w:val="16"/>
      </w:rPr>
    </w:lvl>
    <w:lvl w:ilvl="1">
      <w:start w:val="1"/>
      <w:numFmt w:val="none"/>
      <w:pStyle w:val="TASTablebullet2"/>
      <w:lvlText w:val="–"/>
      <w:lvlJc w:val="left"/>
      <w:pPr>
        <w:tabs>
          <w:tab w:val="num" w:pos="288"/>
        </w:tabs>
        <w:ind w:left="288" w:hanging="144"/>
      </w:pPr>
      <w:rPr>
        <w:rFonts w:ascii="Arial" w:hAnsi="Arial" w:hint="default"/>
        <w:b w:val="0"/>
        <w:i w:val="0"/>
        <w:color w:val="808080" w:themeColor="accent1"/>
        <w:sz w:val="16"/>
      </w:rPr>
    </w:lvl>
    <w:lvl w:ilvl="2">
      <w:start w:val="1"/>
      <w:numFmt w:val="lowerRoman"/>
      <w:lvlText w:val="%3)"/>
      <w:lvlJc w:val="left"/>
      <w:pPr>
        <w:tabs>
          <w:tab w:val="num" w:pos="475"/>
        </w:tabs>
        <w:ind w:left="432" w:hanging="144"/>
      </w:pPr>
      <w:rPr>
        <w:rFonts w:hint="default"/>
      </w:rPr>
    </w:lvl>
    <w:lvl w:ilvl="3">
      <w:start w:val="1"/>
      <w:numFmt w:val="decimal"/>
      <w:lvlText w:val="(%4)"/>
      <w:lvlJc w:val="left"/>
      <w:pPr>
        <w:tabs>
          <w:tab w:val="num" w:pos="619"/>
        </w:tabs>
        <w:ind w:left="576" w:hanging="144"/>
      </w:pPr>
      <w:rPr>
        <w:rFonts w:hint="default"/>
      </w:rPr>
    </w:lvl>
    <w:lvl w:ilvl="4">
      <w:start w:val="1"/>
      <w:numFmt w:val="lowerLetter"/>
      <w:lvlText w:val="(%5)"/>
      <w:lvlJc w:val="left"/>
      <w:pPr>
        <w:tabs>
          <w:tab w:val="num" w:pos="763"/>
        </w:tabs>
        <w:ind w:left="720" w:hanging="144"/>
      </w:pPr>
      <w:rPr>
        <w:rFonts w:hint="default"/>
      </w:rPr>
    </w:lvl>
    <w:lvl w:ilvl="5">
      <w:start w:val="1"/>
      <w:numFmt w:val="lowerRoman"/>
      <w:lvlText w:val="(%6)"/>
      <w:lvlJc w:val="left"/>
      <w:pPr>
        <w:tabs>
          <w:tab w:val="num" w:pos="907"/>
        </w:tabs>
        <w:ind w:left="864" w:hanging="144"/>
      </w:pPr>
      <w:rPr>
        <w:rFonts w:hint="default"/>
      </w:rPr>
    </w:lvl>
    <w:lvl w:ilvl="6">
      <w:start w:val="1"/>
      <w:numFmt w:val="decimal"/>
      <w:lvlText w:val="%7."/>
      <w:lvlJc w:val="left"/>
      <w:pPr>
        <w:tabs>
          <w:tab w:val="num" w:pos="1051"/>
        </w:tabs>
        <w:ind w:left="1008" w:hanging="144"/>
      </w:pPr>
      <w:rPr>
        <w:rFonts w:hint="default"/>
      </w:rPr>
    </w:lvl>
    <w:lvl w:ilvl="7">
      <w:start w:val="1"/>
      <w:numFmt w:val="lowerLetter"/>
      <w:lvlText w:val="%8."/>
      <w:lvlJc w:val="left"/>
      <w:pPr>
        <w:tabs>
          <w:tab w:val="num" w:pos="1195"/>
        </w:tabs>
        <w:ind w:left="1152" w:hanging="144"/>
      </w:pPr>
      <w:rPr>
        <w:rFonts w:hint="default"/>
      </w:rPr>
    </w:lvl>
    <w:lvl w:ilvl="8">
      <w:start w:val="1"/>
      <w:numFmt w:val="lowerRoman"/>
      <w:lvlText w:val="%9."/>
      <w:lvlJc w:val="left"/>
      <w:pPr>
        <w:tabs>
          <w:tab w:val="num" w:pos="1339"/>
        </w:tabs>
        <w:ind w:left="1296" w:hanging="144"/>
      </w:pPr>
      <w:rPr>
        <w:rFonts w:hint="default"/>
      </w:rPr>
    </w:lvl>
  </w:abstractNum>
  <w:abstractNum w:abstractNumId="36">
    <w:nsid w:val="1E253B15"/>
    <w:multiLevelType w:val="multilevel"/>
    <w:tmpl w:val="E8AEFF86"/>
    <w:styleLink w:val="Style1"/>
    <w:lvl w:ilvl="0">
      <w:start w:val="1"/>
      <w:numFmt w:val="decimal"/>
      <w:lvlText w:val="%1"/>
      <w:lvlJc w:val="left"/>
      <w:pPr>
        <w:ind w:left="431" w:hanging="431"/>
      </w:pPr>
      <w:rPr>
        <w:rFonts w:hint="default"/>
      </w:rPr>
    </w:lvl>
    <w:lvl w:ilvl="1">
      <w:start w:val="1"/>
      <w:numFmt w:val="decimal"/>
      <w:lvlText w:val="%1.%2"/>
      <w:lvlJc w:val="left"/>
      <w:pPr>
        <w:ind w:left="431" w:hanging="431"/>
      </w:pPr>
      <w:rPr>
        <w:rFonts w:hint="default"/>
      </w:rPr>
    </w:lvl>
    <w:lvl w:ilvl="2">
      <w:start w:val="1"/>
      <w:numFmt w:val="decimal"/>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37">
    <w:nsid w:val="1E7132AA"/>
    <w:multiLevelType w:val="multilevel"/>
    <w:tmpl w:val="6464D7EC"/>
    <w:lvl w:ilvl="0">
      <w:start w:val="1"/>
      <w:numFmt w:val="bullet"/>
      <w:lvlText w:val="►"/>
      <w:lvlJc w:val="left"/>
      <w:pPr>
        <w:ind w:left="288" w:hanging="288"/>
      </w:pPr>
      <w:rPr>
        <w:rFonts w:ascii="Arial" w:hAnsi="Arial" w:hint="default"/>
        <w:color w:val="808080" w:themeColor="accent1"/>
        <w:spacing w:val="0"/>
        <w:w w:val="70"/>
        <w:position w:val="0"/>
        <w:sz w:val="20"/>
      </w:rPr>
    </w:lvl>
    <w:lvl w:ilvl="1">
      <w:start w:val="1"/>
      <w:numFmt w:val="none"/>
      <w:lvlText w:val="–"/>
      <w:lvlJc w:val="left"/>
      <w:pPr>
        <w:ind w:left="576" w:hanging="288"/>
      </w:pPr>
      <w:rPr>
        <w:rFonts w:hint="default"/>
        <w:color w:val="808080" w:themeColor="accent1"/>
      </w:rPr>
    </w:lvl>
    <w:lvl w:ilvl="2">
      <w:start w:val="1"/>
      <w:numFmt w:val="lowerRoman"/>
      <w:lvlText w:val="%3)"/>
      <w:lvlJc w:val="left"/>
      <w:pPr>
        <w:ind w:left="864" w:hanging="288"/>
      </w:pPr>
      <w:rPr>
        <w:rFonts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38">
    <w:nsid w:val="1F6C31BF"/>
    <w:multiLevelType w:val="hybridMultilevel"/>
    <w:tmpl w:val="335CDB0A"/>
    <w:lvl w:ilvl="0" w:tplc="6DA2668E">
      <w:start w:val="1"/>
      <w:numFmt w:val="decimal"/>
      <w:lvlText w:val="7.%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9">
    <w:nsid w:val="211C6944"/>
    <w:multiLevelType w:val="hybridMultilevel"/>
    <w:tmpl w:val="B7EA335C"/>
    <w:lvl w:ilvl="0" w:tplc="A3C08AE4">
      <w:start w:val="1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0">
    <w:nsid w:val="22C76513"/>
    <w:multiLevelType w:val="hybridMultilevel"/>
    <w:tmpl w:val="8F24EE74"/>
    <w:lvl w:ilvl="0" w:tplc="E8966E32">
      <w:start w:val="1"/>
      <w:numFmt w:val="decimal"/>
      <w:lvlText w:val="1.%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1">
    <w:nsid w:val="240D4DCF"/>
    <w:multiLevelType w:val="hybridMultilevel"/>
    <w:tmpl w:val="413E45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nsid w:val="244969CF"/>
    <w:multiLevelType w:val="hybridMultilevel"/>
    <w:tmpl w:val="BA04C938"/>
    <w:lvl w:ilvl="0" w:tplc="077A32E8">
      <w:start w:val="1"/>
      <w:numFmt w:val="bullet"/>
      <w:lvlText w:val="►"/>
      <w:lvlJc w:val="left"/>
      <w:pPr>
        <w:tabs>
          <w:tab w:val="num" w:pos="720"/>
        </w:tabs>
        <w:ind w:left="720" w:hanging="360"/>
      </w:pPr>
      <w:rPr>
        <w:rFonts w:ascii="Arial" w:hAnsi="Arial" w:hint="default"/>
        <w:sz w:val="20"/>
        <w:szCs w:val="20"/>
      </w:rPr>
    </w:lvl>
    <w:lvl w:ilvl="1" w:tplc="2BBA0B34" w:tentative="1">
      <w:start w:val="1"/>
      <w:numFmt w:val="bullet"/>
      <w:lvlText w:val="►"/>
      <w:lvlJc w:val="left"/>
      <w:pPr>
        <w:tabs>
          <w:tab w:val="num" w:pos="1440"/>
        </w:tabs>
        <w:ind w:left="1440" w:hanging="360"/>
      </w:pPr>
      <w:rPr>
        <w:rFonts w:ascii="Arial" w:hAnsi="Arial" w:hint="default"/>
      </w:rPr>
    </w:lvl>
    <w:lvl w:ilvl="2" w:tplc="2AC64C68" w:tentative="1">
      <w:start w:val="1"/>
      <w:numFmt w:val="bullet"/>
      <w:lvlText w:val="►"/>
      <w:lvlJc w:val="left"/>
      <w:pPr>
        <w:tabs>
          <w:tab w:val="num" w:pos="2160"/>
        </w:tabs>
        <w:ind w:left="2160" w:hanging="360"/>
      </w:pPr>
      <w:rPr>
        <w:rFonts w:ascii="Arial" w:hAnsi="Arial" w:hint="default"/>
      </w:rPr>
    </w:lvl>
    <w:lvl w:ilvl="3" w:tplc="A3A8EC8C" w:tentative="1">
      <w:start w:val="1"/>
      <w:numFmt w:val="bullet"/>
      <w:lvlText w:val="►"/>
      <w:lvlJc w:val="left"/>
      <w:pPr>
        <w:tabs>
          <w:tab w:val="num" w:pos="2880"/>
        </w:tabs>
        <w:ind w:left="2880" w:hanging="360"/>
      </w:pPr>
      <w:rPr>
        <w:rFonts w:ascii="Arial" w:hAnsi="Arial" w:hint="default"/>
      </w:rPr>
    </w:lvl>
    <w:lvl w:ilvl="4" w:tplc="6362239C" w:tentative="1">
      <w:start w:val="1"/>
      <w:numFmt w:val="bullet"/>
      <w:lvlText w:val="►"/>
      <w:lvlJc w:val="left"/>
      <w:pPr>
        <w:tabs>
          <w:tab w:val="num" w:pos="3600"/>
        </w:tabs>
        <w:ind w:left="3600" w:hanging="360"/>
      </w:pPr>
      <w:rPr>
        <w:rFonts w:ascii="Arial" w:hAnsi="Arial" w:hint="default"/>
      </w:rPr>
    </w:lvl>
    <w:lvl w:ilvl="5" w:tplc="74927CDA" w:tentative="1">
      <w:start w:val="1"/>
      <w:numFmt w:val="bullet"/>
      <w:lvlText w:val="►"/>
      <w:lvlJc w:val="left"/>
      <w:pPr>
        <w:tabs>
          <w:tab w:val="num" w:pos="4320"/>
        </w:tabs>
        <w:ind w:left="4320" w:hanging="360"/>
      </w:pPr>
      <w:rPr>
        <w:rFonts w:ascii="Arial" w:hAnsi="Arial" w:hint="default"/>
      </w:rPr>
    </w:lvl>
    <w:lvl w:ilvl="6" w:tplc="244AAFEE" w:tentative="1">
      <w:start w:val="1"/>
      <w:numFmt w:val="bullet"/>
      <w:lvlText w:val="►"/>
      <w:lvlJc w:val="left"/>
      <w:pPr>
        <w:tabs>
          <w:tab w:val="num" w:pos="5040"/>
        </w:tabs>
        <w:ind w:left="5040" w:hanging="360"/>
      </w:pPr>
      <w:rPr>
        <w:rFonts w:ascii="Arial" w:hAnsi="Arial" w:hint="default"/>
      </w:rPr>
    </w:lvl>
    <w:lvl w:ilvl="7" w:tplc="CE26158C" w:tentative="1">
      <w:start w:val="1"/>
      <w:numFmt w:val="bullet"/>
      <w:lvlText w:val="►"/>
      <w:lvlJc w:val="left"/>
      <w:pPr>
        <w:tabs>
          <w:tab w:val="num" w:pos="5760"/>
        </w:tabs>
        <w:ind w:left="5760" w:hanging="360"/>
      </w:pPr>
      <w:rPr>
        <w:rFonts w:ascii="Arial" w:hAnsi="Arial" w:hint="default"/>
      </w:rPr>
    </w:lvl>
    <w:lvl w:ilvl="8" w:tplc="D9AC55D4" w:tentative="1">
      <w:start w:val="1"/>
      <w:numFmt w:val="bullet"/>
      <w:lvlText w:val="►"/>
      <w:lvlJc w:val="left"/>
      <w:pPr>
        <w:tabs>
          <w:tab w:val="num" w:pos="6480"/>
        </w:tabs>
        <w:ind w:left="6480" w:hanging="360"/>
      </w:pPr>
      <w:rPr>
        <w:rFonts w:ascii="Arial" w:hAnsi="Arial" w:hint="default"/>
      </w:rPr>
    </w:lvl>
  </w:abstractNum>
  <w:abstractNum w:abstractNumId="43">
    <w:nsid w:val="27C55AB6"/>
    <w:multiLevelType w:val="multilevel"/>
    <w:tmpl w:val="A4BEC0E4"/>
    <w:styleLink w:val="TASTightbulletliststyle"/>
    <w:lvl w:ilvl="0">
      <w:start w:val="1"/>
      <w:numFmt w:val="bullet"/>
      <w:pStyle w:val="TASTightbullet1"/>
      <w:lvlText w:val="►"/>
      <w:lvlJc w:val="left"/>
      <w:pPr>
        <w:tabs>
          <w:tab w:val="num" w:pos="288"/>
        </w:tabs>
        <w:ind w:left="288" w:hanging="288"/>
      </w:pPr>
      <w:rPr>
        <w:rFonts w:hint="default"/>
        <w:color w:val="808080" w:themeColor="accent1"/>
        <w:spacing w:val="0"/>
        <w:w w:val="70"/>
        <w:position w:val="0"/>
      </w:rPr>
    </w:lvl>
    <w:lvl w:ilvl="1">
      <w:start w:val="1"/>
      <w:numFmt w:val="none"/>
      <w:pStyle w:val="TASTightbullet2"/>
      <w:lvlText w:val="–"/>
      <w:lvlJc w:val="left"/>
      <w:pPr>
        <w:tabs>
          <w:tab w:val="num" w:pos="576"/>
        </w:tabs>
        <w:ind w:left="576" w:hanging="288"/>
      </w:pPr>
      <w:rPr>
        <w:rFonts w:hint="default"/>
        <w:color w:val="808080" w:themeColor="accent1"/>
        <w:spacing w:val="0"/>
        <w:w w:val="100"/>
        <w:position w:val="0"/>
      </w:rPr>
    </w:lvl>
    <w:lvl w:ilvl="2">
      <w:start w:val="1"/>
      <w:numFmt w:val="lowerRoman"/>
      <w:lvlText w:val="%3)"/>
      <w:lvlJc w:val="left"/>
      <w:pPr>
        <w:tabs>
          <w:tab w:val="num" w:pos="864"/>
        </w:tabs>
        <w:ind w:left="864" w:hanging="288"/>
      </w:pPr>
      <w:rPr>
        <w:rFonts w:hint="default"/>
      </w:rPr>
    </w:lvl>
    <w:lvl w:ilvl="3">
      <w:start w:val="1"/>
      <w:numFmt w:val="decimal"/>
      <w:lvlText w:val="(%4)"/>
      <w:lvlJc w:val="left"/>
      <w:pPr>
        <w:tabs>
          <w:tab w:val="num" w:pos="1152"/>
        </w:tabs>
        <w:ind w:left="1152" w:hanging="288"/>
      </w:pPr>
      <w:rPr>
        <w:rFonts w:hint="default"/>
      </w:rPr>
    </w:lvl>
    <w:lvl w:ilvl="4">
      <w:start w:val="1"/>
      <w:numFmt w:val="lowerLetter"/>
      <w:lvlText w:val="(%5)"/>
      <w:lvlJc w:val="left"/>
      <w:pPr>
        <w:tabs>
          <w:tab w:val="num" w:pos="1440"/>
        </w:tabs>
        <w:ind w:left="1440" w:hanging="288"/>
      </w:pPr>
      <w:rPr>
        <w:rFonts w:hint="default"/>
      </w:rPr>
    </w:lvl>
    <w:lvl w:ilvl="5">
      <w:start w:val="1"/>
      <w:numFmt w:val="lowerRoman"/>
      <w:lvlText w:val="(%6)"/>
      <w:lvlJc w:val="left"/>
      <w:pPr>
        <w:tabs>
          <w:tab w:val="num" w:pos="1728"/>
        </w:tabs>
        <w:ind w:left="1728" w:hanging="288"/>
      </w:pPr>
      <w:rPr>
        <w:rFonts w:hint="default"/>
      </w:rPr>
    </w:lvl>
    <w:lvl w:ilvl="6">
      <w:start w:val="1"/>
      <w:numFmt w:val="decimal"/>
      <w:lvlText w:val="%7."/>
      <w:lvlJc w:val="left"/>
      <w:pPr>
        <w:tabs>
          <w:tab w:val="num" w:pos="2016"/>
        </w:tabs>
        <w:ind w:left="2016" w:hanging="288"/>
      </w:pPr>
      <w:rPr>
        <w:rFonts w:hint="default"/>
      </w:rPr>
    </w:lvl>
    <w:lvl w:ilvl="7">
      <w:start w:val="1"/>
      <w:numFmt w:val="lowerLetter"/>
      <w:lvlText w:val="%8."/>
      <w:lvlJc w:val="left"/>
      <w:pPr>
        <w:tabs>
          <w:tab w:val="num" w:pos="2304"/>
        </w:tabs>
        <w:ind w:left="2304" w:hanging="288"/>
      </w:pPr>
      <w:rPr>
        <w:rFonts w:hint="default"/>
      </w:rPr>
    </w:lvl>
    <w:lvl w:ilvl="8">
      <w:start w:val="1"/>
      <w:numFmt w:val="lowerRoman"/>
      <w:lvlText w:val="%9."/>
      <w:lvlJc w:val="left"/>
      <w:pPr>
        <w:tabs>
          <w:tab w:val="num" w:pos="2592"/>
        </w:tabs>
        <w:ind w:left="2592" w:hanging="288"/>
      </w:pPr>
      <w:rPr>
        <w:rFonts w:hint="default"/>
      </w:rPr>
    </w:lvl>
  </w:abstractNum>
  <w:abstractNum w:abstractNumId="44">
    <w:nsid w:val="2A7D401C"/>
    <w:multiLevelType w:val="hybridMultilevel"/>
    <w:tmpl w:val="570E45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nsid w:val="2D473DA0"/>
    <w:multiLevelType w:val="hybridMultilevel"/>
    <w:tmpl w:val="C71E5E06"/>
    <w:lvl w:ilvl="0" w:tplc="62724E52">
      <w:start w:val="1"/>
      <w:numFmt w:val="decimal"/>
      <w:lvlText w:val="7.%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6">
    <w:nsid w:val="2DF12405"/>
    <w:multiLevelType w:val="hybridMultilevel"/>
    <w:tmpl w:val="178E1B5E"/>
    <w:lvl w:ilvl="0" w:tplc="601C6C60">
      <w:start w:val="1"/>
      <w:numFmt w:val="decimal"/>
      <w:lvlText w:val="7.%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nsid w:val="32977BA5"/>
    <w:multiLevelType w:val="multilevel"/>
    <w:tmpl w:val="1C2891B8"/>
    <w:styleLink w:val="TASBulletnumberlist"/>
    <w:lvl w:ilvl="0">
      <w:start w:val="1"/>
      <w:numFmt w:val="decimal"/>
      <w:pStyle w:val="TASBulletnumber"/>
      <w:lvlText w:val="%1"/>
      <w:lvlJc w:val="left"/>
      <w:pPr>
        <w:ind w:left="288" w:hanging="288"/>
      </w:pPr>
      <w:rPr>
        <w:rFonts w:hint="default"/>
        <w:color w:val="808080" w:themeColor="accent1"/>
        <w:sz w:val="20"/>
      </w:rPr>
    </w:lvl>
    <w:lvl w:ilvl="1">
      <w:start w:val="1"/>
      <w:numFmt w:val="lowerLetter"/>
      <w:lvlText w:val="%2."/>
      <w:lvlJc w:val="left"/>
      <w:pPr>
        <w:ind w:left="576" w:hanging="288"/>
      </w:pPr>
      <w:rPr>
        <w:rFonts w:hint="default"/>
      </w:rPr>
    </w:lvl>
    <w:lvl w:ilvl="2">
      <w:start w:val="1"/>
      <w:numFmt w:val="lowerRoman"/>
      <w:lvlText w:val="%3."/>
      <w:lvlJc w:val="right"/>
      <w:pPr>
        <w:ind w:left="864" w:hanging="288"/>
      </w:pPr>
      <w:rPr>
        <w:rFonts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48">
    <w:nsid w:val="32E24FC5"/>
    <w:multiLevelType w:val="hybridMultilevel"/>
    <w:tmpl w:val="03BEE9AA"/>
    <w:lvl w:ilvl="0" w:tplc="3744AADE">
      <w:start w:val="1"/>
      <w:numFmt w:val="decimal"/>
      <w:lvlText w:val="8.%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nsid w:val="3512208F"/>
    <w:multiLevelType w:val="multilevel"/>
    <w:tmpl w:val="14E62A78"/>
    <w:styleLink w:val="TAS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decimal"/>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Roman"/>
      <w:lvlText w:val="(%8)"/>
      <w:lvlJc w:val="left"/>
      <w:pPr>
        <w:ind w:left="2880" w:hanging="360"/>
      </w:pPr>
      <w:rPr>
        <w:rFonts w:hint="default"/>
      </w:rPr>
    </w:lvl>
    <w:lvl w:ilvl="8">
      <w:start w:val="1"/>
      <w:numFmt w:val="decimal"/>
      <w:lvlText w:val="%9"/>
      <w:lvlJc w:val="left"/>
      <w:pPr>
        <w:ind w:left="3240" w:hanging="360"/>
      </w:pPr>
      <w:rPr>
        <w:rFonts w:hint="default"/>
      </w:rPr>
    </w:lvl>
  </w:abstractNum>
  <w:abstractNum w:abstractNumId="50">
    <w:nsid w:val="38E13BDB"/>
    <w:multiLevelType w:val="multilevel"/>
    <w:tmpl w:val="6464D7EC"/>
    <w:lvl w:ilvl="0">
      <w:start w:val="1"/>
      <w:numFmt w:val="bullet"/>
      <w:pStyle w:val="TASBullet1"/>
      <w:lvlText w:val="►"/>
      <w:lvlJc w:val="left"/>
      <w:pPr>
        <w:ind w:left="288" w:hanging="288"/>
      </w:pPr>
      <w:rPr>
        <w:rFonts w:ascii="Arial" w:hAnsi="Arial" w:hint="default"/>
        <w:color w:val="808080" w:themeColor="accent1"/>
        <w:spacing w:val="0"/>
        <w:w w:val="70"/>
        <w:position w:val="0"/>
        <w:sz w:val="20"/>
      </w:rPr>
    </w:lvl>
    <w:lvl w:ilvl="1">
      <w:start w:val="1"/>
      <w:numFmt w:val="none"/>
      <w:pStyle w:val="TASBullet2"/>
      <w:lvlText w:val="–"/>
      <w:lvlJc w:val="left"/>
      <w:pPr>
        <w:ind w:left="576" w:hanging="288"/>
      </w:pPr>
      <w:rPr>
        <w:rFonts w:hint="default"/>
        <w:color w:val="808080" w:themeColor="accent1"/>
      </w:rPr>
    </w:lvl>
    <w:lvl w:ilvl="2">
      <w:start w:val="1"/>
      <w:numFmt w:val="lowerRoman"/>
      <w:lvlText w:val="%3)"/>
      <w:lvlJc w:val="left"/>
      <w:pPr>
        <w:ind w:left="864" w:hanging="288"/>
      </w:pPr>
      <w:rPr>
        <w:rFonts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51">
    <w:nsid w:val="39B81A14"/>
    <w:multiLevelType w:val="hybridMultilevel"/>
    <w:tmpl w:val="469C39EA"/>
    <w:lvl w:ilvl="0" w:tplc="6AB6508C">
      <w:start w:val="7"/>
      <w:numFmt w:val="decimal"/>
      <w:lvlText w:val="3.%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nsid w:val="3C67065B"/>
    <w:multiLevelType w:val="hybridMultilevel"/>
    <w:tmpl w:val="DF821218"/>
    <w:lvl w:ilvl="0" w:tplc="17F685B2">
      <w:start w:val="1"/>
      <w:numFmt w:val="decimal"/>
      <w:lvlText w:val="7.%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nsid w:val="40B82571"/>
    <w:multiLevelType w:val="hybridMultilevel"/>
    <w:tmpl w:val="CAC2270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4">
    <w:nsid w:val="41A5047F"/>
    <w:multiLevelType w:val="multilevel"/>
    <w:tmpl w:val="6464D7EC"/>
    <w:lvl w:ilvl="0">
      <w:start w:val="1"/>
      <w:numFmt w:val="bullet"/>
      <w:lvlText w:val="►"/>
      <w:lvlJc w:val="left"/>
      <w:pPr>
        <w:ind w:left="288" w:hanging="288"/>
      </w:pPr>
      <w:rPr>
        <w:rFonts w:ascii="Arial" w:hAnsi="Arial" w:hint="default"/>
        <w:color w:val="808080" w:themeColor="accent1"/>
        <w:spacing w:val="0"/>
        <w:w w:val="70"/>
        <w:position w:val="0"/>
        <w:sz w:val="20"/>
      </w:rPr>
    </w:lvl>
    <w:lvl w:ilvl="1">
      <w:start w:val="1"/>
      <w:numFmt w:val="none"/>
      <w:lvlText w:val="–"/>
      <w:lvlJc w:val="left"/>
      <w:pPr>
        <w:ind w:left="576" w:hanging="288"/>
      </w:pPr>
      <w:rPr>
        <w:rFonts w:hint="default"/>
        <w:color w:val="808080" w:themeColor="accent1"/>
      </w:rPr>
    </w:lvl>
    <w:lvl w:ilvl="2">
      <w:start w:val="1"/>
      <w:numFmt w:val="lowerRoman"/>
      <w:lvlText w:val="%3)"/>
      <w:lvlJc w:val="left"/>
      <w:pPr>
        <w:ind w:left="864" w:hanging="288"/>
      </w:pPr>
      <w:rPr>
        <w:rFonts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55">
    <w:nsid w:val="43AA1AAC"/>
    <w:multiLevelType w:val="hybridMultilevel"/>
    <w:tmpl w:val="D2D02596"/>
    <w:lvl w:ilvl="0" w:tplc="1B88AE36">
      <w:start w:val="1"/>
      <w:numFmt w:val="bullet"/>
      <w:lvlText w:val=""/>
      <w:lvlJc w:val="left"/>
      <w:pPr>
        <w:ind w:left="720" w:hanging="360"/>
      </w:pPr>
      <w:rPr>
        <w:rFonts w:ascii="Symbol" w:hAnsi="Symbol" w:hint="default"/>
      </w:rPr>
    </w:lvl>
    <w:lvl w:ilvl="1" w:tplc="1242D2E6" w:tentative="1">
      <w:start w:val="1"/>
      <w:numFmt w:val="bullet"/>
      <w:lvlText w:val="o"/>
      <w:lvlJc w:val="left"/>
      <w:pPr>
        <w:ind w:left="1440" w:hanging="360"/>
      </w:pPr>
      <w:rPr>
        <w:rFonts w:ascii="Courier New" w:hAnsi="Courier New" w:cs="Courier New" w:hint="default"/>
      </w:rPr>
    </w:lvl>
    <w:lvl w:ilvl="2" w:tplc="AA782C4A" w:tentative="1">
      <w:start w:val="1"/>
      <w:numFmt w:val="bullet"/>
      <w:lvlText w:val=""/>
      <w:lvlJc w:val="left"/>
      <w:pPr>
        <w:ind w:left="2160" w:hanging="360"/>
      </w:pPr>
      <w:rPr>
        <w:rFonts w:ascii="Wingdings" w:hAnsi="Wingdings" w:hint="default"/>
      </w:rPr>
    </w:lvl>
    <w:lvl w:ilvl="3" w:tplc="BA9A1B8A"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nsid w:val="46932FED"/>
    <w:multiLevelType w:val="hybridMultilevel"/>
    <w:tmpl w:val="CD7EDFAA"/>
    <w:lvl w:ilvl="0" w:tplc="08224460">
      <w:start w:val="8"/>
      <w:numFmt w:val="decimal"/>
      <w:lvlText w:val="3.%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nsid w:val="486B35E9"/>
    <w:multiLevelType w:val="multilevel"/>
    <w:tmpl w:val="0C7EB3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48B33C1B"/>
    <w:multiLevelType w:val="hybridMultilevel"/>
    <w:tmpl w:val="269E0500"/>
    <w:lvl w:ilvl="0" w:tplc="A4D4F272">
      <w:start w:val="2"/>
      <w:numFmt w:val="decimal"/>
      <w:lvlText w:val="3.%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nsid w:val="4CCB4347"/>
    <w:multiLevelType w:val="hybridMultilevel"/>
    <w:tmpl w:val="903CE988"/>
    <w:lvl w:ilvl="0" w:tplc="62724E52">
      <w:start w:val="1"/>
      <w:numFmt w:val="decimal"/>
      <w:lvlText w:val="7.%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0">
    <w:nsid w:val="4FC506FF"/>
    <w:multiLevelType w:val="multilevel"/>
    <w:tmpl w:val="B2CA930E"/>
    <w:styleLink w:val="TASTablenotelist"/>
    <w:lvl w:ilvl="0">
      <w:start w:val="1"/>
      <w:numFmt w:val="decimal"/>
      <w:pStyle w:val="TASTablenote"/>
      <w:lvlText w:val="%1."/>
      <w:lvlJc w:val="left"/>
      <w:pPr>
        <w:ind w:left="288" w:hanging="288"/>
      </w:pPr>
      <w:rPr>
        <w:rFonts w:ascii="Arial Narrow" w:hAnsi="Arial Narrow" w:hint="default"/>
        <w:b w:val="0"/>
        <w:i w:val="0"/>
        <w:color w:val="auto"/>
        <w:sz w:val="16"/>
      </w:rPr>
    </w:lvl>
    <w:lvl w:ilvl="1">
      <w:start w:val="1"/>
      <w:numFmt w:val="lowerLetter"/>
      <w:lvlText w:val="%2."/>
      <w:lvlJc w:val="left"/>
      <w:pPr>
        <w:ind w:left="576" w:hanging="288"/>
      </w:pPr>
      <w:rPr>
        <w:rFonts w:hint="default"/>
      </w:rPr>
    </w:lvl>
    <w:lvl w:ilvl="2">
      <w:start w:val="1"/>
      <w:numFmt w:val="lowerRoman"/>
      <w:lvlText w:val="%3."/>
      <w:lvlJc w:val="right"/>
      <w:pPr>
        <w:ind w:left="864" w:hanging="288"/>
      </w:pPr>
      <w:rPr>
        <w:rFonts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righ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right"/>
      <w:pPr>
        <w:ind w:left="2592" w:hanging="288"/>
      </w:pPr>
      <w:rPr>
        <w:rFonts w:hint="default"/>
      </w:rPr>
    </w:lvl>
  </w:abstractNum>
  <w:abstractNum w:abstractNumId="61">
    <w:nsid w:val="52583BD4"/>
    <w:multiLevelType w:val="hybridMultilevel"/>
    <w:tmpl w:val="E2C8A1DA"/>
    <w:lvl w:ilvl="0" w:tplc="680E5CF6">
      <w:start w:val="1"/>
      <w:numFmt w:val="bullet"/>
      <w:lvlText w:val=""/>
      <w:lvlJc w:val="left"/>
      <w:pPr>
        <w:ind w:left="720" w:hanging="360"/>
      </w:pPr>
      <w:rPr>
        <w:rFonts w:ascii="Symbol" w:hAnsi="Symbol" w:hint="default"/>
      </w:rPr>
    </w:lvl>
    <w:lvl w:ilvl="1" w:tplc="D168FE56" w:tentative="1">
      <w:start w:val="1"/>
      <w:numFmt w:val="bullet"/>
      <w:lvlText w:val="o"/>
      <w:lvlJc w:val="left"/>
      <w:pPr>
        <w:ind w:left="1440" w:hanging="360"/>
      </w:pPr>
      <w:rPr>
        <w:rFonts w:ascii="Courier New" w:hAnsi="Courier New" w:cs="Courier New" w:hint="default"/>
      </w:rPr>
    </w:lvl>
    <w:lvl w:ilvl="2" w:tplc="CD8AE634" w:tentative="1">
      <w:start w:val="1"/>
      <w:numFmt w:val="bullet"/>
      <w:lvlText w:val=""/>
      <w:lvlJc w:val="left"/>
      <w:pPr>
        <w:ind w:left="2160" w:hanging="360"/>
      </w:pPr>
      <w:rPr>
        <w:rFonts w:ascii="Wingdings" w:hAnsi="Wingdings" w:hint="default"/>
      </w:rPr>
    </w:lvl>
    <w:lvl w:ilvl="3" w:tplc="14AED69E" w:tentative="1">
      <w:start w:val="1"/>
      <w:numFmt w:val="bullet"/>
      <w:lvlText w:val=""/>
      <w:lvlJc w:val="left"/>
      <w:pPr>
        <w:ind w:left="2880" w:hanging="360"/>
      </w:pPr>
      <w:rPr>
        <w:rFonts w:ascii="Symbol" w:hAnsi="Symbol" w:hint="default"/>
      </w:rPr>
    </w:lvl>
    <w:lvl w:ilvl="4" w:tplc="E33C1400" w:tentative="1">
      <w:start w:val="1"/>
      <w:numFmt w:val="bullet"/>
      <w:lvlText w:val="o"/>
      <w:lvlJc w:val="left"/>
      <w:pPr>
        <w:ind w:left="3600" w:hanging="360"/>
      </w:pPr>
      <w:rPr>
        <w:rFonts w:ascii="Courier New" w:hAnsi="Courier New" w:cs="Courier New" w:hint="default"/>
      </w:rPr>
    </w:lvl>
    <w:lvl w:ilvl="5" w:tplc="A80C451C" w:tentative="1">
      <w:start w:val="1"/>
      <w:numFmt w:val="bullet"/>
      <w:lvlText w:val=""/>
      <w:lvlJc w:val="left"/>
      <w:pPr>
        <w:ind w:left="4320" w:hanging="360"/>
      </w:pPr>
      <w:rPr>
        <w:rFonts w:ascii="Wingdings" w:hAnsi="Wingdings" w:hint="default"/>
      </w:rPr>
    </w:lvl>
    <w:lvl w:ilvl="6" w:tplc="D67AB6BA" w:tentative="1">
      <w:start w:val="1"/>
      <w:numFmt w:val="bullet"/>
      <w:lvlText w:val=""/>
      <w:lvlJc w:val="left"/>
      <w:pPr>
        <w:ind w:left="5040" w:hanging="360"/>
      </w:pPr>
      <w:rPr>
        <w:rFonts w:ascii="Symbol" w:hAnsi="Symbol" w:hint="default"/>
      </w:rPr>
    </w:lvl>
    <w:lvl w:ilvl="7" w:tplc="7F6AA16E" w:tentative="1">
      <w:start w:val="1"/>
      <w:numFmt w:val="bullet"/>
      <w:lvlText w:val="o"/>
      <w:lvlJc w:val="left"/>
      <w:pPr>
        <w:ind w:left="5760" w:hanging="360"/>
      </w:pPr>
      <w:rPr>
        <w:rFonts w:ascii="Courier New" w:hAnsi="Courier New" w:cs="Courier New" w:hint="default"/>
      </w:rPr>
    </w:lvl>
    <w:lvl w:ilvl="8" w:tplc="6C42A00C" w:tentative="1">
      <w:start w:val="1"/>
      <w:numFmt w:val="bullet"/>
      <w:lvlText w:val=""/>
      <w:lvlJc w:val="left"/>
      <w:pPr>
        <w:ind w:left="6480" w:hanging="360"/>
      </w:pPr>
      <w:rPr>
        <w:rFonts w:ascii="Wingdings" w:hAnsi="Wingdings" w:hint="default"/>
      </w:rPr>
    </w:lvl>
  </w:abstractNum>
  <w:abstractNum w:abstractNumId="62">
    <w:nsid w:val="5277AB92"/>
    <w:multiLevelType w:val="multilevel"/>
    <w:tmpl w:val="6464D7EC"/>
    <w:styleLink w:val="TASBulletliststyle"/>
    <w:lvl w:ilvl="0">
      <w:start w:val="1"/>
      <w:numFmt w:val="bullet"/>
      <w:lvlText w:val="►"/>
      <w:lvlJc w:val="left"/>
      <w:pPr>
        <w:ind w:left="288" w:hanging="288"/>
      </w:pPr>
      <w:rPr>
        <w:rFonts w:ascii="Arial" w:hAnsi="Arial" w:hint="default"/>
        <w:color w:val="808080" w:themeColor="accent1"/>
        <w:spacing w:val="0"/>
        <w:w w:val="70"/>
        <w:position w:val="0"/>
        <w:sz w:val="20"/>
      </w:rPr>
    </w:lvl>
    <w:lvl w:ilvl="1">
      <w:start w:val="1"/>
      <w:numFmt w:val="none"/>
      <w:lvlText w:val="–"/>
      <w:lvlJc w:val="left"/>
      <w:pPr>
        <w:ind w:left="576" w:hanging="288"/>
      </w:pPr>
      <w:rPr>
        <w:rFonts w:hint="default"/>
        <w:color w:val="808080" w:themeColor="accent1"/>
      </w:rPr>
    </w:lvl>
    <w:lvl w:ilvl="2">
      <w:start w:val="1"/>
      <w:numFmt w:val="lowerRoman"/>
      <w:lvlText w:val="%3)"/>
      <w:lvlJc w:val="left"/>
      <w:pPr>
        <w:ind w:left="864" w:hanging="288"/>
      </w:pPr>
      <w:rPr>
        <w:rFonts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63">
    <w:nsid w:val="530316C3"/>
    <w:multiLevelType w:val="hybridMultilevel"/>
    <w:tmpl w:val="4A18D604"/>
    <w:lvl w:ilvl="0" w:tplc="4EC66FC6">
      <w:start w:val="1"/>
      <w:numFmt w:val="bullet"/>
      <w:lvlText w:val="►"/>
      <w:lvlJc w:val="left"/>
      <w:pPr>
        <w:tabs>
          <w:tab w:val="num" w:pos="720"/>
        </w:tabs>
        <w:ind w:left="720" w:hanging="360"/>
      </w:pPr>
      <w:rPr>
        <w:rFonts w:ascii="Arial" w:hAnsi="Arial" w:hint="default"/>
        <w:sz w:val="20"/>
        <w:szCs w:val="20"/>
      </w:rPr>
    </w:lvl>
    <w:lvl w:ilvl="1" w:tplc="9FD05CFC" w:tentative="1">
      <w:start w:val="1"/>
      <w:numFmt w:val="bullet"/>
      <w:lvlText w:val="►"/>
      <w:lvlJc w:val="left"/>
      <w:pPr>
        <w:tabs>
          <w:tab w:val="num" w:pos="1440"/>
        </w:tabs>
        <w:ind w:left="1440" w:hanging="360"/>
      </w:pPr>
      <w:rPr>
        <w:rFonts w:ascii="Arial" w:hAnsi="Arial" w:hint="default"/>
      </w:rPr>
    </w:lvl>
    <w:lvl w:ilvl="2" w:tplc="91225650" w:tentative="1">
      <w:start w:val="1"/>
      <w:numFmt w:val="bullet"/>
      <w:lvlText w:val="►"/>
      <w:lvlJc w:val="left"/>
      <w:pPr>
        <w:tabs>
          <w:tab w:val="num" w:pos="2160"/>
        </w:tabs>
        <w:ind w:left="2160" w:hanging="360"/>
      </w:pPr>
      <w:rPr>
        <w:rFonts w:ascii="Arial" w:hAnsi="Arial" w:hint="default"/>
      </w:rPr>
    </w:lvl>
    <w:lvl w:ilvl="3" w:tplc="9BA81846" w:tentative="1">
      <w:start w:val="1"/>
      <w:numFmt w:val="bullet"/>
      <w:lvlText w:val="►"/>
      <w:lvlJc w:val="left"/>
      <w:pPr>
        <w:tabs>
          <w:tab w:val="num" w:pos="2880"/>
        </w:tabs>
        <w:ind w:left="2880" w:hanging="360"/>
      </w:pPr>
      <w:rPr>
        <w:rFonts w:ascii="Arial" w:hAnsi="Arial" w:hint="default"/>
      </w:rPr>
    </w:lvl>
    <w:lvl w:ilvl="4" w:tplc="7ED4223C" w:tentative="1">
      <w:start w:val="1"/>
      <w:numFmt w:val="bullet"/>
      <w:lvlText w:val="►"/>
      <w:lvlJc w:val="left"/>
      <w:pPr>
        <w:tabs>
          <w:tab w:val="num" w:pos="3600"/>
        </w:tabs>
        <w:ind w:left="3600" w:hanging="360"/>
      </w:pPr>
      <w:rPr>
        <w:rFonts w:ascii="Arial" w:hAnsi="Arial" w:hint="default"/>
      </w:rPr>
    </w:lvl>
    <w:lvl w:ilvl="5" w:tplc="BB844C18" w:tentative="1">
      <w:start w:val="1"/>
      <w:numFmt w:val="bullet"/>
      <w:lvlText w:val="►"/>
      <w:lvlJc w:val="left"/>
      <w:pPr>
        <w:tabs>
          <w:tab w:val="num" w:pos="4320"/>
        </w:tabs>
        <w:ind w:left="4320" w:hanging="360"/>
      </w:pPr>
      <w:rPr>
        <w:rFonts w:ascii="Arial" w:hAnsi="Arial" w:hint="default"/>
      </w:rPr>
    </w:lvl>
    <w:lvl w:ilvl="6" w:tplc="9230D0FC" w:tentative="1">
      <w:start w:val="1"/>
      <w:numFmt w:val="bullet"/>
      <w:lvlText w:val="►"/>
      <w:lvlJc w:val="left"/>
      <w:pPr>
        <w:tabs>
          <w:tab w:val="num" w:pos="5040"/>
        </w:tabs>
        <w:ind w:left="5040" w:hanging="360"/>
      </w:pPr>
      <w:rPr>
        <w:rFonts w:ascii="Arial" w:hAnsi="Arial" w:hint="default"/>
      </w:rPr>
    </w:lvl>
    <w:lvl w:ilvl="7" w:tplc="DA38315E" w:tentative="1">
      <w:start w:val="1"/>
      <w:numFmt w:val="bullet"/>
      <w:lvlText w:val="►"/>
      <w:lvlJc w:val="left"/>
      <w:pPr>
        <w:tabs>
          <w:tab w:val="num" w:pos="5760"/>
        </w:tabs>
        <w:ind w:left="5760" w:hanging="360"/>
      </w:pPr>
      <w:rPr>
        <w:rFonts w:ascii="Arial" w:hAnsi="Arial" w:hint="default"/>
      </w:rPr>
    </w:lvl>
    <w:lvl w:ilvl="8" w:tplc="54EC46E2" w:tentative="1">
      <w:start w:val="1"/>
      <w:numFmt w:val="bullet"/>
      <w:lvlText w:val="►"/>
      <w:lvlJc w:val="left"/>
      <w:pPr>
        <w:tabs>
          <w:tab w:val="num" w:pos="6480"/>
        </w:tabs>
        <w:ind w:left="6480" w:hanging="360"/>
      </w:pPr>
      <w:rPr>
        <w:rFonts w:ascii="Arial" w:hAnsi="Arial" w:hint="default"/>
      </w:rPr>
    </w:lvl>
  </w:abstractNum>
  <w:abstractNum w:abstractNumId="64">
    <w:nsid w:val="56431235"/>
    <w:multiLevelType w:val="hybridMultilevel"/>
    <w:tmpl w:val="6478AC60"/>
    <w:lvl w:ilvl="0" w:tplc="7FB277AE">
      <w:start w:val="1"/>
      <w:numFmt w:val="decimal"/>
      <w:lvlText w:val="4.%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5">
    <w:nsid w:val="58A2C20E"/>
    <w:multiLevelType w:val="multilevel"/>
    <w:tmpl w:val="6464D7EC"/>
    <w:lvl w:ilvl="0">
      <w:start w:val="1"/>
      <w:numFmt w:val="bullet"/>
      <w:lvlText w:val="►"/>
      <w:lvlJc w:val="left"/>
      <w:pPr>
        <w:ind w:left="288" w:hanging="288"/>
      </w:pPr>
      <w:rPr>
        <w:rFonts w:ascii="Arial" w:hAnsi="Arial" w:hint="default"/>
        <w:color w:val="808080" w:themeColor="accent1"/>
        <w:spacing w:val="0"/>
        <w:w w:val="70"/>
        <w:position w:val="0"/>
        <w:sz w:val="20"/>
      </w:rPr>
    </w:lvl>
    <w:lvl w:ilvl="1">
      <w:start w:val="1"/>
      <w:numFmt w:val="none"/>
      <w:lvlText w:val="–"/>
      <w:lvlJc w:val="left"/>
      <w:pPr>
        <w:ind w:left="576" w:hanging="288"/>
      </w:pPr>
      <w:rPr>
        <w:rFonts w:hint="default"/>
        <w:color w:val="808080" w:themeColor="accent1"/>
      </w:rPr>
    </w:lvl>
    <w:lvl w:ilvl="2">
      <w:start w:val="1"/>
      <w:numFmt w:val="lowerRoman"/>
      <w:lvlText w:val="%3)"/>
      <w:lvlJc w:val="left"/>
      <w:pPr>
        <w:ind w:left="864" w:hanging="288"/>
      </w:pPr>
      <w:rPr>
        <w:rFonts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66">
    <w:nsid w:val="58BA1073"/>
    <w:multiLevelType w:val="multilevel"/>
    <w:tmpl w:val="6464D7EC"/>
    <w:lvl w:ilvl="0">
      <w:start w:val="1"/>
      <w:numFmt w:val="bullet"/>
      <w:lvlText w:val="►"/>
      <w:lvlJc w:val="left"/>
      <w:pPr>
        <w:ind w:left="288" w:hanging="288"/>
      </w:pPr>
      <w:rPr>
        <w:rFonts w:ascii="Arial" w:hAnsi="Arial" w:hint="default"/>
        <w:color w:val="808080" w:themeColor="accent1"/>
        <w:spacing w:val="0"/>
        <w:w w:val="70"/>
        <w:position w:val="0"/>
        <w:sz w:val="20"/>
      </w:rPr>
    </w:lvl>
    <w:lvl w:ilvl="1">
      <w:start w:val="1"/>
      <w:numFmt w:val="none"/>
      <w:lvlText w:val="–"/>
      <w:lvlJc w:val="left"/>
      <w:pPr>
        <w:ind w:left="576" w:hanging="288"/>
      </w:pPr>
      <w:rPr>
        <w:rFonts w:hint="default"/>
        <w:color w:val="808080" w:themeColor="accent1"/>
      </w:rPr>
    </w:lvl>
    <w:lvl w:ilvl="2">
      <w:start w:val="1"/>
      <w:numFmt w:val="lowerRoman"/>
      <w:lvlText w:val="%3)"/>
      <w:lvlJc w:val="left"/>
      <w:pPr>
        <w:ind w:left="864" w:hanging="288"/>
      </w:pPr>
      <w:rPr>
        <w:rFonts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67">
    <w:nsid w:val="59025F09"/>
    <w:multiLevelType w:val="hybridMultilevel"/>
    <w:tmpl w:val="5ADE7592"/>
    <w:lvl w:ilvl="0" w:tplc="056E86B8">
      <w:start w:val="1"/>
      <w:numFmt w:val="decimal"/>
      <w:lvlText w:val="3.%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8">
    <w:nsid w:val="59DB7FD2"/>
    <w:multiLevelType w:val="hybridMultilevel"/>
    <w:tmpl w:val="33629D42"/>
    <w:lvl w:ilvl="0" w:tplc="F86253B2">
      <w:start w:val="1"/>
      <w:numFmt w:val="decimal"/>
      <w:pStyle w:val="TOC3"/>
      <w:lvlText w:val="%1."/>
      <w:lvlJc w:val="left"/>
      <w:pPr>
        <w:ind w:left="3917" w:hanging="360"/>
      </w:pPr>
      <w:rPr>
        <w:rFonts w:ascii="Arial" w:hAnsi="Arial" w:hint="default"/>
        <w:b w:val="0"/>
        <w:i w:val="0"/>
        <w:color w:val="auto"/>
        <w:sz w:val="20"/>
      </w:rPr>
    </w:lvl>
    <w:lvl w:ilvl="1" w:tplc="061E09DE" w:tentative="1">
      <w:start w:val="1"/>
      <w:numFmt w:val="lowerLetter"/>
      <w:lvlText w:val="%2."/>
      <w:lvlJc w:val="left"/>
      <w:pPr>
        <w:ind w:left="1440" w:hanging="360"/>
      </w:pPr>
    </w:lvl>
    <w:lvl w:ilvl="2" w:tplc="CD5863CE" w:tentative="1">
      <w:start w:val="1"/>
      <w:numFmt w:val="lowerRoman"/>
      <w:lvlText w:val="%3."/>
      <w:lvlJc w:val="right"/>
      <w:pPr>
        <w:ind w:left="2160" w:hanging="180"/>
      </w:pPr>
    </w:lvl>
    <w:lvl w:ilvl="3" w:tplc="74428EB2" w:tentative="1">
      <w:start w:val="1"/>
      <w:numFmt w:val="decimal"/>
      <w:lvlText w:val="%4."/>
      <w:lvlJc w:val="left"/>
      <w:pPr>
        <w:ind w:left="2880" w:hanging="360"/>
      </w:pPr>
    </w:lvl>
    <w:lvl w:ilvl="4" w:tplc="CBE81ECA" w:tentative="1">
      <w:start w:val="1"/>
      <w:numFmt w:val="lowerLetter"/>
      <w:lvlText w:val="%5."/>
      <w:lvlJc w:val="left"/>
      <w:pPr>
        <w:ind w:left="3600" w:hanging="360"/>
      </w:pPr>
    </w:lvl>
    <w:lvl w:ilvl="5" w:tplc="8ADEF406" w:tentative="1">
      <w:start w:val="1"/>
      <w:numFmt w:val="lowerRoman"/>
      <w:lvlText w:val="%6."/>
      <w:lvlJc w:val="right"/>
      <w:pPr>
        <w:ind w:left="4320" w:hanging="180"/>
      </w:pPr>
    </w:lvl>
    <w:lvl w:ilvl="6" w:tplc="110415B8" w:tentative="1">
      <w:start w:val="1"/>
      <w:numFmt w:val="decimal"/>
      <w:lvlText w:val="%7."/>
      <w:lvlJc w:val="left"/>
      <w:pPr>
        <w:ind w:left="5040" w:hanging="360"/>
      </w:pPr>
    </w:lvl>
    <w:lvl w:ilvl="7" w:tplc="85AC8B94" w:tentative="1">
      <w:start w:val="1"/>
      <w:numFmt w:val="lowerLetter"/>
      <w:lvlText w:val="%8."/>
      <w:lvlJc w:val="left"/>
      <w:pPr>
        <w:ind w:left="5760" w:hanging="360"/>
      </w:pPr>
    </w:lvl>
    <w:lvl w:ilvl="8" w:tplc="58B0E94A" w:tentative="1">
      <w:start w:val="1"/>
      <w:numFmt w:val="lowerRoman"/>
      <w:lvlText w:val="%9."/>
      <w:lvlJc w:val="right"/>
      <w:pPr>
        <w:ind w:left="6480" w:hanging="180"/>
      </w:pPr>
    </w:lvl>
  </w:abstractNum>
  <w:abstractNum w:abstractNumId="69">
    <w:nsid w:val="5CFB5E1C"/>
    <w:multiLevelType w:val="hybridMultilevel"/>
    <w:tmpl w:val="AEC2CE4A"/>
    <w:lvl w:ilvl="0" w:tplc="0CCA08A4">
      <w:start w:val="1"/>
      <w:numFmt w:val="decimal"/>
      <w:lvlText w:val="%1.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0">
    <w:nsid w:val="5DB1228A"/>
    <w:multiLevelType w:val="hybridMultilevel"/>
    <w:tmpl w:val="80C6C83C"/>
    <w:lvl w:ilvl="0" w:tplc="1AD2525A">
      <w:start w:val="2"/>
      <w:numFmt w:val="decimal"/>
      <w:lvlText w:val="%1.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1">
    <w:nsid w:val="5ED024CE"/>
    <w:multiLevelType w:val="hybridMultilevel"/>
    <w:tmpl w:val="4942DA4C"/>
    <w:lvl w:ilvl="0" w:tplc="A3B87696">
      <w:start w:val="10"/>
      <w:numFmt w:val="decimal"/>
      <w:lvlText w:val="5.%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2">
    <w:nsid w:val="5FB32027"/>
    <w:multiLevelType w:val="hybridMultilevel"/>
    <w:tmpl w:val="FCA84D34"/>
    <w:lvl w:ilvl="0" w:tplc="52E47D26">
      <w:start w:val="1"/>
      <w:numFmt w:val="bullet"/>
      <w:lvlText w:val=""/>
      <w:lvlJc w:val="left"/>
      <w:pPr>
        <w:ind w:left="720" w:hanging="360"/>
      </w:pPr>
      <w:rPr>
        <w:rFonts w:ascii="Symbol" w:hAnsi="Symbol" w:hint="default"/>
      </w:rPr>
    </w:lvl>
    <w:lvl w:ilvl="1" w:tplc="AB58EAFE" w:tentative="1">
      <w:start w:val="1"/>
      <w:numFmt w:val="bullet"/>
      <w:lvlText w:val="o"/>
      <w:lvlJc w:val="left"/>
      <w:pPr>
        <w:ind w:left="1440" w:hanging="360"/>
      </w:pPr>
      <w:rPr>
        <w:rFonts w:ascii="Courier New" w:hAnsi="Courier New" w:cs="Courier New" w:hint="default"/>
      </w:rPr>
    </w:lvl>
    <w:lvl w:ilvl="2" w:tplc="B7782B90" w:tentative="1">
      <w:start w:val="1"/>
      <w:numFmt w:val="bullet"/>
      <w:lvlText w:val=""/>
      <w:lvlJc w:val="left"/>
      <w:pPr>
        <w:ind w:left="2160" w:hanging="360"/>
      </w:pPr>
      <w:rPr>
        <w:rFonts w:ascii="Wingdings" w:hAnsi="Wingdings" w:hint="default"/>
      </w:rPr>
    </w:lvl>
    <w:lvl w:ilvl="3" w:tplc="BE3EC16E" w:tentative="1">
      <w:start w:val="1"/>
      <w:numFmt w:val="bullet"/>
      <w:lvlText w:val=""/>
      <w:lvlJc w:val="left"/>
      <w:pPr>
        <w:ind w:left="2880" w:hanging="360"/>
      </w:pPr>
      <w:rPr>
        <w:rFonts w:ascii="Symbol" w:hAnsi="Symbol" w:hint="default"/>
      </w:rPr>
    </w:lvl>
    <w:lvl w:ilvl="4" w:tplc="4692B3C2" w:tentative="1">
      <w:start w:val="1"/>
      <w:numFmt w:val="bullet"/>
      <w:lvlText w:val="o"/>
      <w:lvlJc w:val="left"/>
      <w:pPr>
        <w:ind w:left="3600" w:hanging="360"/>
      </w:pPr>
      <w:rPr>
        <w:rFonts w:ascii="Courier New" w:hAnsi="Courier New" w:cs="Courier New" w:hint="default"/>
      </w:rPr>
    </w:lvl>
    <w:lvl w:ilvl="5" w:tplc="93C20148" w:tentative="1">
      <w:start w:val="1"/>
      <w:numFmt w:val="bullet"/>
      <w:lvlText w:val=""/>
      <w:lvlJc w:val="left"/>
      <w:pPr>
        <w:ind w:left="4320" w:hanging="360"/>
      </w:pPr>
      <w:rPr>
        <w:rFonts w:ascii="Wingdings" w:hAnsi="Wingdings" w:hint="default"/>
      </w:rPr>
    </w:lvl>
    <w:lvl w:ilvl="6" w:tplc="8E42ED90" w:tentative="1">
      <w:start w:val="1"/>
      <w:numFmt w:val="bullet"/>
      <w:lvlText w:val=""/>
      <w:lvlJc w:val="left"/>
      <w:pPr>
        <w:ind w:left="5040" w:hanging="360"/>
      </w:pPr>
      <w:rPr>
        <w:rFonts w:ascii="Symbol" w:hAnsi="Symbol" w:hint="default"/>
      </w:rPr>
    </w:lvl>
    <w:lvl w:ilvl="7" w:tplc="3C90C210" w:tentative="1">
      <w:start w:val="1"/>
      <w:numFmt w:val="bullet"/>
      <w:lvlText w:val="o"/>
      <w:lvlJc w:val="left"/>
      <w:pPr>
        <w:ind w:left="5760" w:hanging="360"/>
      </w:pPr>
      <w:rPr>
        <w:rFonts w:ascii="Courier New" w:hAnsi="Courier New" w:cs="Courier New" w:hint="default"/>
      </w:rPr>
    </w:lvl>
    <w:lvl w:ilvl="8" w:tplc="798A11B0" w:tentative="1">
      <w:start w:val="1"/>
      <w:numFmt w:val="bullet"/>
      <w:lvlText w:val=""/>
      <w:lvlJc w:val="left"/>
      <w:pPr>
        <w:ind w:left="6480" w:hanging="360"/>
      </w:pPr>
      <w:rPr>
        <w:rFonts w:ascii="Wingdings" w:hAnsi="Wingdings" w:hint="default"/>
      </w:rPr>
    </w:lvl>
  </w:abstractNum>
  <w:abstractNum w:abstractNumId="73">
    <w:nsid w:val="61496D2C"/>
    <w:multiLevelType w:val="hybridMultilevel"/>
    <w:tmpl w:val="5D20ECB4"/>
    <w:lvl w:ilvl="0" w:tplc="7FBA7390">
      <w:start w:val="5"/>
      <w:numFmt w:val="decimal"/>
      <w:lvlText w:val="3.%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4">
    <w:nsid w:val="62B47A9C"/>
    <w:multiLevelType w:val="multilevel"/>
    <w:tmpl w:val="6464D7EC"/>
    <w:lvl w:ilvl="0">
      <w:start w:val="1"/>
      <w:numFmt w:val="bullet"/>
      <w:lvlText w:val="►"/>
      <w:lvlJc w:val="left"/>
      <w:pPr>
        <w:ind w:left="288" w:hanging="288"/>
      </w:pPr>
      <w:rPr>
        <w:rFonts w:ascii="Arial" w:hAnsi="Arial" w:hint="default"/>
        <w:color w:val="808080" w:themeColor="accent1"/>
        <w:spacing w:val="0"/>
        <w:w w:val="70"/>
        <w:position w:val="0"/>
        <w:sz w:val="20"/>
      </w:rPr>
    </w:lvl>
    <w:lvl w:ilvl="1">
      <w:start w:val="1"/>
      <w:numFmt w:val="none"/>
      <w:lvlText w:val="–"/>
      <w:lvlJc w:val="left"/>
      <w:pPr>
        <w:ind w:left="576" w:hanging="288"/>
      </w:pPr>
      <w:rPr>
        <w:rFonts w:hint="default"/>
        <w:color w:val="808080" w:themeColor="accent1"/>
      </w:rPr>
    </w:lvl>
    <w:lvl w:ilvl="2">
      <w:start w:val="1"/>
      <w:numFmt w:val="lowerRoman"/>
      <w:lvlText w:val="%3)"/>
      <w:lvlJc w:val="left"/>
      <w:pPr>
        <w:ind w:left="864" w:hanging="288"/>
      </w:pPr>
      <w:rPr>
        <w:rFonts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75">
    <w:nsid w:val="63C708EF"/>
    <w:multiLevelType w:val="hybridMultilevel"/>
    <w:tmpl w:val="54469B04"/>
    <w:lvl w:ilvl="0" w:tplc="A4D4F272">
      <w:start w:val="2"/>
      <w:numFmt w:val="decimal"/>
      <w:lvlText w:val="3.%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nsid w:val="63F62574"/>
    <w:multiLevelType w:val="hybridMultilevel"/>
    <w:tmpl w:val="1FBA947C"/>
    <w:lvl w:ilvl="0" w:tplc="260E4BAE">
      <w:start w:val="10"/>
      <w:numFmt w:val="decimal"/>
      <w:lvlText w:val="4.%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
    <w:nsid w:val="64903E7F"/>
    <w:multiLevelType w:val="hybridMultilevel"/>
    <w:tmpl w:val="E944754A"/>
    <w:lvl w:ilvl="0" w:tplc="A678D526">
      <w:start w:val="1"/>
      <w:numFmt w:val="decimal"/>
      <w:lvlText w:val="5.%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8">
    <w:nsid w:val="66BC0356"/>
    <w:multiLevelType w:val="hybridMultilevel"/>
    <w:tmpl w:val="5E34650A"/>
    <w:lvl w:ilvl="0" w:tplc="676621BA">
      <w:start w:val="1"/>
      <w:numFmt w:val="decimal"/>
      <w:lvlText w:val="8.%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9">
    <w:nsid w:val="6DB33D59"/>
    <w:multiLevelType w:val="hybridMultilevel"/>
    <w:tmpl w:val="E866364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0">
    <w:nsid w:val="6F322B13"/>
    <w:multiLevelType w:val="hybridMultilevel"/>
    <w:tmpl w:val="802CA3B0"/>
    <w:lvl w:ilvl="0" w:tplc="193437DC">
      <w:start w:val="1"/>
      <w:numFmt w:val="bullet"/>
      <w:pStyle w:val="Listaszerbekezds2szint"/>
      <w:lvlText w:val="o"/>
      <w:lvlJc w:val="left"/>
      <w:pPr>
        <w:ind w:left="1800" w:hanging="360"/>
      </w:pPr>
      <w:rPr>
        <w:rFonts w:ascii="Courier New" w:hAnsi="Courier New" w:hint="default"/>
        <w:b/>
        <w:color w:val="00A3AE" w:themeColor="accent5"/>
        <w:sz w:val="24"/>
      </w:rPr>
    </w:lvl>
    <w:lvl w:ilvl="1" w:tplc="736C5C3E" w:tentative="1">
      <w:start w:val="1"/>
      <w:numFmt w:val="bullet"/>
      <w:lvlText w:val="o"/>
      <w:lvlJc w:val="left"/>
      <w:pPr>
        <w:ind w:left="2520" w:hanging="360"/>
      </w:pPr>
      <w:rPr>
        <w:rFonts w:ascii="Courier New" w:hAnsi="Courier New" w:cs="Courier New" w:hint="default"/>
      </w:rPr>
    </w:lvl>
    <w:lvl w:ilvl="2" w:tplc="30441CD8" w:tentative="1">
      <w:start w:val="1"/>
      <w:numFmt w:val="bullet"/>
      <w:lvlText w:val=""/>
      <w:lvlJc w:val="left"/>
      <w:pPr>
        <w:ind w:left="3240" w:hanging="360"/>
      </w:pPr>
      <w:rPr>
        <w:rFonts w:ascii="Wingdings" w:hAnsi="Wingdings" w:hint="default"/>
      </w:rPr>
    </w:lvl>
    <w:lvl w:ilvl="3" w:tplc="C9C2AC2C" w:tentative="1">
      <w:start w:val="1"/>
      <w:numFmt w:val="bullet"/>
      <w:lvlText w:val=""/>
      <w:lvlJc w:val="left"/>
      <w:pPr>
        <w:ind w:left="3960" w:hanging="360"/>
      </w:pPr>
      <w:rPr>
        <w:rFonts w:ascii="Symbol" w:hAnsi="Symbol" w:hint="default"/>
      </w:rPr>
    </w:lvl>
    <w:lvl w:ilvl="4" w:tplc="A73E8EA8" w:tentative="1">
      <w:start w:val="1"/>
      <w:numFmt w:val="bullet"/>
      <w:lvlText w:val="o"/>
      <w:lvlJc w:val="left"/>
      <w:pPr>
        <w:ind w:left="4680" w:hanging="360"/>
      </w:pPr>
      <w:rPr>
        <w:rFonts w:ascii="Courier New" w:hAnsi="Courier New" w:cs="Courier New" w:hint="default"/>
      </w:rPr>
    </w:lvl>
    <w:lvl w:ilvl="5" w:tplc="3BA44DC8" w:tentative="1">
      <w:start w:val="1"/>
      <w:numFmt w:val="bullet"/>
      <w:lvlText w:val=""/>
      <w:lvlJc w:val="left"/>
      <w:pPr>
        <w:ind w:left="5400" w:hanging="360"/>
      </w:pPr>
      <w:rPr>
        <w:rFonts w:ascii="Wingdings" w:hAnsi="Wingdings" w:hint="default"/>
      </w:rPr>
    </w:lvl>
    <w:lvl w:ilvl="6" w:tplc="60867B22" w:tentative="1">
      <w:start w:val="1"/>
      <w:numFmt w:val="bullet"/>
      <w:lvlText w:val=""/>
      <w:lvlJc w:val="left"/>
      <w:pPr>
        <w:ind w:left="6120" w:hanging="360"/>
      </w:pPr>
      <w:rPr>
        <w:rFonts w:ascii="Symbol" w:hAnsi="Symbol" w:hint="default"/>
      </w:rPr>
    </w:lvl>
    <w:lvl w:ilvl="7" w:tplc="6E7AA12E" w:tentative="1">
      <w:start w:val="1"/>
      <w:numFmt w:val="bullet"/>
      <w:lvlText w:val="o"/>
      <w:lvlJc w:val="left"/>
      <w:pPr>
        <w:ind w:left="6840" w:hanging="360"/>
      </w:pPr>
      <w:rPr>
        <w:rFonts w:ascii="Courier New" w:hAnsi="Courier New" w:cs="Courier New" w:hint="default"/>
      </w:rPr>
    </w:lvl>
    <w:lvl w:ilvl="8" w:tplc="EEA01DBA" w:tentative="1">
      <w:start w:val="1"/>
      <w:numFmt w:val="bullet"/>
      <w:lvlText w:val=""/>
      <w:lvlJc w:val="left"/>
      <w:pPr>
        <w:ind w:left="7560" w:hanging="360"/>
      </w:pPr>
      <w:rPr>
        <w:rFonts w:ascii="Wingdings" w:hAnsi="Wingdings" w:hint="default"/>
      </w:rPr>
    </w:lvl>
  </w:abstractNum>
  <w:abstractNum w:abstractNumId="81">
    <w:nsid w:val="72DB1CB3"/>
    <w:multiLevelType w:val="hybridMultilevel"/>
    <w:tmpl w:val="68F6163C"/>
    <w:lvl w:ilvl="0" w:tplc="79982138">
      <w:start w:val="1"/>
      <w:numFmt w:val="decimal"/>
      <w:lvlText w:val="%1.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2">
    <w:nsid w:val="780B145C"/>
    <w:multiLevelType w:val="hybridMultilevel"/>
    <w:tmpl w:val="4C8CF4F0"/>
    <w:lvl w:ilvl="0" w:tplc="5C36E3A8">
      <w:start w:val="1"/>
      <w:numFmt w:val="decimal"/>
      <w:lvlText w:val="7.%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3">
    <w:nsid w:val="7A3922FA"/>
    <w:multiLevelType w:val="hybridMultilevel"/>
    <w:tmpl w:val="0CD0EE2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4">
    <w:nsid w:val="7CDF4B58"/>
    <w:multiLevelType w:val="hybridMultilevel"/>
    <w:tmpl w:val="675ED682"/>
    <w:lvl w:ilvl="0" w:tplc="9702D574">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47"/>
  </w:num>
  <w:num w:numId="2">
    <w:abstractNumId w:val="25"/>
  </w:num>
  <w:num w:numId="3">
    <w:abstractNumId w:val="49"/>
  </w:num>
  <w:num w:numId="4">
    <w:abstractNumId w:val="35"/>
  </w:num>
  <w:num w:numId="5">
    <w:abstractNumId w:val="60"/>
  </w:num>
  <w:num w:numId="6">
    <w:abstractNumId w:val="43"/>
  </w:num>
  <w:num w:numId="7">
    <w:abstractNumId w:val="50"/>
  </w:num>
  <w:num w:numId="8">
    <w:abstractNumId w:val="47"/>
  </w:num>
  <w:num w:numId="9">
    <w:abstractNumId w:val="25"/>
  </w:num>
  <w:num w:numId="10">
    <w:abstractNumId w:val="35"/>
  </w:num>
  <w:num w:numId="11">
    <w:abstractNumId w:val="60"/>
  </w:num>
  <w:num w:numId="12">
    <w:abstractNumId w:val="43"/>
  </w:num>
  <w:num w:numId="13">
    <w:abstractNumId w:val="21"/>
  </w:num>
  <w:num w:numId="14">
    <w:abstractNumId w:val="68"/>
  </w:num>
  <w:num w:numId="15">
    <w:abstractNumId w:val="21"/>
    <w:lvlOverride w:ilvl="0">
      <w:startOverride w:val="1"/>
    </w:lvlOverride>
  </w:num>
  <w:num w:numId="16">
    <w:abstractNumId w:val="21"/>
    <w:lvlOverride w:ilvl="0">
      <w:startOverride w:val="1"/>
    </w:lvlOverride>
  </w:num>
  <w:num w:numId="17">
    <w:abstractNumId w:val="74"/>
  </w:num>
  <w:num w:numId="18">
    <w:abstractNumId w:val="47"/>
  </w:num>
  <w:num w:numId="1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6"/>
  </w:num>
  <w:num w:numId="23">
    <w:abstractNumId w:val="21"/>
    <w:lvlOverride w:ilvl="0">
      <w:startOverride w:val="1"/>
    </w:lvlOverride>
  </w:num>
  <w:num w:numId="24">
    <w:abstractNumId w:val="47"/>
    <w:lvlOverride w:ilvl="0">
      <w:startOverride w:val="1"/>
    </w:lvlOverride>
  </w:num>
  <w:num w:numId="25">
    <w:abstractNumId w:val="37"/>
  </w:num>
  <w:num w:numId="26">
    <w:abstractNumId w:val="65"/>
  </w:num>
  <w:num w:numId="27">
    <w:abstractNumId w:val="10"/>
  </w:num>
  <w:num w:numId="28">
    <w:abstractNumId w:val="8"/>
  </w:num>
  <w:num w:numId="29">
    <w:abstractNumId w:val="21"/>
    <w:lvlOverride w:ilvl="0">
      <w:startOverride w:val="1"/>
    </w:lvlOverride>
  </w:num>
  <w:num w:numId="30">
    <w:abstractNumId w:val="23"/>
  </w:num>
  <w:num w:numId="31">
    <w:abstractNumId w:val="57"/>
  </w:num>
  <w:num w:numId="32">
    <w:abstractNumId w:val="2"/>
  </w:num>
  <w:num w:numId="33">
    <w:abstractNumId w:val="47"/>
  </w:num>
  <w:num w:numId="34">
    <w:abstractNumId w:val="9"/>
  </w:num>
  <w:num w:numId="35">
    <w:abstractNumId w:val="21"/>
    <w:lvlOverride w:ilvl="0">
      <w:startOverride w:val="1"/>
    </w:lvlOverride>
  </w:num>
  <w:num w:numId="36">
    <w:abstractNumId w:val="6"/>
  </w:num>
  <w:num w:numId="37">
    <w:abstractNumId w:val="47"/>
    <w:lvlOverride w:ilvl="0">
      <w:startOverride w:val="1"/>
    </w:lvlOverride>
  </w:num>
  <w:num w:numId="38">
    <w:abstractNumId w:val="54"/>
  </w:num>
  <w:num w:numId="39">
    <w:abstractNumId w:val="7"/>
  </w:num>
  <w:num w:numId="40">
    <w:abstractNumId w:val="47"/>
  </w:num>
  <w:num w:numId="41">
    <w:abstractNumId w:val="1"/>
  </w:num>
  <w:num w:numId="42">
    <w:abstractNumId w:val="12"/>
  </w:num>
  <w:num w:numId="43">
    <w:abstractNumId w:val="21"/>
    <w:lvlOverride w:ilvl="0">
      <w:startOverride w:val="1"/>
    </w:lvlOverride>
  </w:num>
  <w:num w:numId="44">
    <w:abstractNumId w:val="5"/>
  </w:num>
  <w:num w:numId="45">
    <w:abstractNumId w:val="47"/>
    <w:lvlOverride w:ilvl="0">
      <w:startOverride w:val="1"/>
    </w:lvlOverride>
  </w:num>
  <w:num w:numId="46">
    <w:abstractNumId w:val="3"/>
  </w:num>
  <w:num w:numId="47">
    <w:abstractNumId w:val="14"/>
  </w:num>
  <w:num w:numId="48">
    <w:abstractNumId w:val="11"/>
  </w:num>
  <w:num w:numId="49">
    <w:abstractNumId w:val="42"/>
  </w:num>
  <w:num w:numId="50">
    <w:abstractNumId w:val="63"/>
  </w:num>
  <w:num w:numId="51">
    <w:abstractNumId w:val="4"/>
  </w:num>
  <w:num w:numId="52">
    <w:abstractNumId w:val="0"/>
  </w:num>
  <w:num w:numId="53">
    <w:abstractNumId w:val="21"/>
    <w:lvlOverride w:ilvl="0">
      <w:startOverride w:val="1"/>
    </w:lvlOverride>
  </w:num>
  <w:num w:numId="54">
    <w:abstractNumId w:val="62"/>
  </w:num>
  <w:num w:numId="55">
    <w:abstractNumId w:val="36"/>
  </w:num>
  <w:num w:numId="56">
    <w:abstractNumId w:val="26"/>
  </w:num>
  <w:num w:numId="57">
    <w:abstractNumId w:val="18"/>
  </w:num>
  <w:num w:numId="58">
    <w:abstractNumId w:val="20"/>
  </w:num>
  <w:num w:numId="59">
    <w:abstractNumId w:val="29"/>
  </w:num>
  <w:num w:numId="60">
    <w:abstractNumId w:val="80"/>
  </w:num>
  <w:num w:numId="61">
    <w:abstractNumId w:val="61"/>
  </w:num>
  <w:num w:numId="62">
    <w:abstractNumId w:val="31"/>
  </w:num>
  <w:num w:numId="63">
    <w:abstractNumId w:val="53"/>
  </w:num>
  <w:num w:numId="64">
    <w:abstractNumId w:val="41"/>
  </w:num>
  <w:num w:numId="65">
    <w:abstractNumId w:val="44"/>
  </w:num>
  <w:num w:numId="66">
    <w:abstractNumId w:val="72"/>
  </w:num>
  <w:num w:numId="67">
    <w:abstractNumId w:val="55"/>
  </w:num>
  <w:num w:numId="68">
    <w:abstractNumId w:val="84"/>
  </w:num>
  <w:num w:numId="69">
    <w:abstractNumId w:val="34"/>
  </w:num>
  <w:num w:numId="70">
    <w:abstractNumId w:val="83"/>
  </w:num>
  <w:num w:numId="71">
    <w:abstractNumId w:val="39"/>
  </w:num>
  <w:num w:numId="72">
    <w:abstractNumId w:val="21"/>
    <w:lvlOverride w:ilvl="0">
      <w:startOverride w:val="2"/>
    </w:lvlOverride>
    <w:lvlOverride w:ilvl="1">
      <w:startOverride w:val="1"/>
    </w:lvlOverride>
  </w:num>
  <w:num w:numId="73">
    <w:abstractNumId w:val="21"/>
    <w:lvlOverride w:ilvl="0">
      <w:startOverride w:val="2"/>
    </w:lvlOverride>
    <w:lvlOverride w:ilvl="1">
      <w:startOverride w:val="1"/>
    </w:lvlOverride>
  </w:num>
  <w:num w:numId="74">
    <w:abstractNumId w:val="30"/>
  </w:num>
  <w:num w:numId="75">
    <w:abstractNumId w:val="33"/>
  </w:num>
  <w:num w:numId="76">
    <w:abstractNumId w:val="69"/>
  </w:num>
  <w:num w:numId="77">
    <w:abstractNumId w:val="81"/>
  </w:num>
  <w:num w:numId="78">
    <w:abstractNumId w:val="16"/>
  </w:num>
  <w:num w:numId="79">
    <w:abstractNumId w:val="40"/>
  </w:num>
  <w:num w:numId="80">
    <w:abstractNumId w:val="70"/>
  </w:num>
  <w:num w:numId="81">
    <w:abstractNumId w:val="58"/>
  </w:num>
  <w:num w:numId="82">
    <w:abstractNumId w:val="67"/>
  </w:num>
  <w:num w:numId="83">
    <w:abstractNumId w:val="75"/>
  </w:num>
  <w:num w:numId="84">
    <w:abstractNumId w:val="73"/>
  </w:num>
  <w:num w:numId="85">
    <w:abstractNumId w:val="27"/>
  </w:num>
  <w:num w:numId="86">
    <w:abstractNumId w:val="51"/>
  </w:num>
  <w:num w:numId="87">
    <w:abstractNumId w:val="56"/>
  </w:num>
  <w:num w:numId="88">
    <w:abstractNumId w:val="13"/>
  </w:num>
  <w:num w:numId="89">
    <w:abstractNumId w:val="17"/>
  </w:num>
  <w:num w:numId="90">
    <w:abstractNumId w:val="76"/>
  </w:num>
  <w:num w:numId="91">
    <w:abstractNumId w:val="64"/>
  </w:num>
  <w:num w:numId="92">
    <w:abstractNumId w:val="79"/>
  </w:num>
  <w:num w:numId="93">
    <w:abstractNumId w:val="19"/>
  </w:num>
  <w:num w:numId="94">
    <w:abstractNumId w:val="71"/>
  </w:num>
  <w:num w:numId="95">
    <w:abstractNumId w:val="77"/>
  </w:num>
  <w:num w:numId="96">
    <w:abstractNumId w:val="22"/>
  </w:num>
  <w:num w:numId="97">
    <w:abstractNumId w:val="82"/>
  </w:num>
  <w:num w:numId="98">
    <w:abstractNumId w:val="45"/>
  </w:num>
  <w:num w:numId="99">
    <w:abstractNumId w:val="59"/>
  </w:num>
  <w:num w:numId="100">
    <w:abstractNumId w:val="46"/>
  </w:num>
  <w:num w:numId="101">
    <w:abstractNumId w:val="52"/>
  </w:num>
  <w:num w:numId="102">
    <w:abstractNumId w:val="38"/>
  </w:num>
  <w:num w:numId="103">
    <w:abstractNumId w:val="32"/>
  </w:num>
  <w:num w:numId="104">
    <w:abstractNumId w:val="24"/>
  </w:num>
  <w:num w:numId="105">
    <w:abstractNumId w:val="28"/>
  </w:num>
  <w:num w:numId="106">
    <w:abstractNumId w:val="15"/>
  </w:num>
  <w:num w:numId="107">
    <w:abstractNumId w:val="48"/>
  </w:num>
  <w:num w:numId="108">
    <w:abstractNumId w:val="78"/>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F46719"/>
    <w:rsid w:val="00004731"/>
    <w:rsid w:val="00010FAC"/>
    <w:rsid w:val="000145B7"/>
    <w:rsid w:val="00015910"/>
    <w:rsid w:val="00037D59"/>
    <w:rsid w:val="000615B7"/>
    <w:rsid w:val="0007184D"/>
    <w:rsid w:val="00080B3A"/>
    <w:rsid w:val="00081490"/>
    <w:rsid w:val="000946FC"/>
    <w:rsid w:val="00096FA1"/>
    <w:rsid w:val="000A0A2F"/>
    <w:rsid w:val="000B10D5"/>
    <w:rsid w:val="000C5B4E"/>
    <w:rsid w:val="000C70FA"/>
    <w:rsid w:val="000E68C5"/>
    <w:rsid w:val="000F7BD5"/>
    <w:rsid w:val="001014BD"/>
    <w:rsid w:val="00107D37"/>
    <w:rsid w:val="0011185D"/>
    <w:rsid w:val="001129CA"/>
    <w:rsid w:val="001153C7"/>
    <w:rsid w:val="001157CF"/>
    <w:rsid w:val="00117F6A"/>
    <w:rsid w:val="00125295"/>
    <w:rsid w:val="0013155F"/>
    <w:rsid w:val="001330AE"/>
    <w:rsid w:val="001331F6"/>
    <w:rsid w:val="00133CBC"/>
    <w:rsid w:val="00137880"/>
    <w:rsid w:val="001417BC"/>
    <w:rsid w:val="00147572"/>
    <w:rsid w:val="00150336"/>
    <w:rsid w:val="0016126E"/>
    <w:rsid w:val="001677EB"/>
    <w:rsid w:val="00172E92"/>
    <w:rsid w:val="00176816"/>
    <w:rsid w:val="001872F1"/>
    <w:rsid w:val="00194848"/>
    <w:rsid w:val="001A25BC"/>
    <w:rsid w:val="001A404C"/>
    <w:rsid w:val="001B29F9"/>
    <w:rsid w:val="001B78F0"/>
    <w:rsid w:val="001C2365"/>
    <w:rsid w:val="001C5959"/>
    <w:rsid w:val="001C7F5D"/>
    <w:rsid w:val="001D17B9"/>
    <w:rsid w:val="001D32CD"/>
    <w:rsid w:val="001D71C2"/>
    <w:rsid w:val="00204E9F"/>
    <w:rsid w:val="002076C7"/>
    <w:rsid w:val="0021273A"/>
    <w:rsid w:val="0021396D"/>
    <w:rsid w:val="00217F59"/>
    <w:rsid w:val="002266ED"/>
    <w:rsid w:val="00233934"/>
    <w:rsid w:val="00244FF2"/>
    <w:rsid w:val="002515D7"/>
    <w:rsid w:val="00260E8A"/>
    <w:rsid w:val="002A0FA6"/>
    <w:rsid w:val="002A0FCE"/>
    <w:rsid w:val="002C75B1"/>
    <w:rsid w:val="002D2468"/>
    <w:rsid w:val="002D3AA7"/>
    <w:rsid w:val="002D610B"/>
    <w:rsid w:val="002E0829"/>
    <w:rsid w:val="002E08E8"/>
    <w:rsid w:val="002E3971"/>
    <w:rsid w:val="002E6054"/>
    <w:rsid w:val="002E6EE0"/>
    <w:rsid w:val="002F10D8"/>
    <w:rsid w:val="002F194A"/>
    <w:rsid w:val="002F7B32"/>
    <w:rsid w:val="003169DB"/>
    <w:rsid w:val="003249D9"/>
    <w:rsid w:val="00324A73"/>
    <w:rsid w:val="0033123D"/>
    <w:rsid w:val="00336156"/>
    <w:rsid w:val="00340379"/>
    <w:rsid w:val="00343723"/>
    <w:rsid w:val="003477BD"/>
    <w:rsid w:val="00350921"/>
    <w:rsid w:val="003539AF"/>
    <w:rsid w:val="00356081"/>
    <w:rsid w:val="0037039D"/>
    <w:rsid w:val="00372839"/>
    <w:rsid w:val="00375117"/>
    <w:rsid w:val="00382EFF"/>
    <w:rsid w:val="00383915"/>
    <w:rsid w:val="0039018F"/>
    <w:rsid w:val="003904B8"/>
    <w:rsid w:val="00390F11"/>
    <w:rsid w:val="003910B9"/>
    <w:rsid w:val="00392068"/>
    <w:rsid w:val="0039472B"/>
    <w:rsid w:val="003B3FA9"/>
    <w:rsid w:val="003B56B3"/>
    <w:rsid w:val="003B7FA8"/>
    <w:rsid w:val="003C211B"/>
    <w:rsid w:val="003C3A01"/>
    <w:rsid w:val="003D03BD"/>
    <w:rsid w:val="003D1631"/>
    <w:rsid w:val="003E2C3E"/>
    <w:rsid w:val="003F05FC"/>
    <w:rsid w:val="003F4612"/>
    <w:rsid w:val="00402EA8"/>
    <w:rsid w:val="00405471"/>
    <w:rsid w:val="004057CC"/>
    <w:rsid w:val="00406F46"/>
    <w:rsid w:val="0041109E"/>
    <w:rsid w:val="00414562"/>
    <w:rsid w:val="00425534"/>
    <w:rsid w:val="00435FF3"/>
    <w:rsid w:val="004366C0"/>
    <w:rsid w:val="00442263"/>
    <w:rsid w:val="00442FB2"/>
    <w:rsid w:val="00446C67"/>
    <w:rsid w:val="00452BAC"/>
    <w:rsid w:val="00462C63"/>
    <w:rsid w:val="00466355"/>
    <w:rsid w:val="004672C1"/>
    <w:rsid w:val="00474DB0"/>
    <w:rsid w:val="00477940"/>
    <w:rsid w:val="00483D47"/>
    <w:rsid w:val="0049273B"/>
    <w:rsid w:val="004929D4"/>
    <w:rsid w:val="004A6E8B"/>
    <w:rsid w:val="004B3539"/>
    <w:rsid w:val="004C1091"/>
    <w:rsid w:val="004C3D0F"/>
    <w:rsid w:val="004D48DF"/>
    <w:rsid w:val="004E468D"/>
    <w:rsid w:val="004E7954"/>
    <w:rsid w:val="0051472F"/>
    <w:rsid w:val="00517E41"/>
    <w:rsid w:val="005208A1"/>
    <w:rsid w:val="00520F6E"/>
    <w:rsid w:val="005226F9"/>
    <w:rsid w:val="0053356C"/>
    <w:rsid w:val="00536322"/>
    <w:rsid w:val="00540363"/>
    <w:rsid w:val="00556197"/>
    <w:rsid w:val="00561D86"/>
    <w:rsid w:val="0058442B"/>
    <w:rsid w:val="005938FB"/>
    <w:rsid w:val="00596DFC"/>
    <w:rsid w:val="00597860"/>
    <w:rsid w:val="005B075A"/>
    <w:rsid w:val="005C3B5F"/>
    <w:rsid w:val="005C64A9"/>
    <w:rsid w:val="005C7F87"/>
    <w:rsid w:val="005D0BBD"/>
    <w:rsid w:val="005F0E20"/>
    <w:rsid w:val="005F136A"/>
    <w:rsid w:val="005F2808"/>
    <w:rsid w:val="005F67EB"/>
    <w:rsid w:val="006067F3"/>
    <w:rsid w:val="00612986"/>
    <w:rsid w:val="00617053"/>
    <w:rsid w:val="0063008C"/>
    <w:rsid w:val="00630192"/>
    <w:rsid w:val="00636032"/>
    <w:rsid w:val="006451F9"/>
    <w:rsid w:val="006511DD"/>
    <w:rsid w:val="006572C9"/>
    <w:rsid w:val="00685415"/>
    <w:rsid w:val="00690A61"/>
    <w:rsid w:val="0069649B"/>
    <w:rsid w:val="006B4437"/>
    <w:rsid w:val="006C023B"/>
    <w:rsid w:val="006C20C5"/>
    <w:rsid w:val="006D7154"/>
    <w:rsid w:val="006E23D0"/>
    <w:rsid w:val="006E4859"/>
    <w:rsid w:val="006F35E6"/>
    <w:rsid w:val="007119D5"/>
    <w:rsid w:val="007206FC"/>
    <w:rsid w:val="0072183D"/>
    <w:rsid w:val="0072252A"/>
    <w:rsid w:val="007417AE"/>
    <w:rsid w:val="007430EB"/>
    <w:rsid w:val="00747BD6"/>
    <w:rsid w:val="00757E43"/>
    <w:rsid w:val="0076332D"/>
    <w:rsid w:val="00770AE6"/>
    <w:rsid w:val="0077236B"/>
    <w:rsid w:val="00774FEF"/>
    <w:rsid w:val="00785D4D"/>
    <w:rsid w:val="00786F7B"/>
    <w:rsid w:val="007A5644"/>
    <w:rsid w:val="007C143B"/>
    <w:rsid w:val="007C3EC2"/>
    <w:rsid w:val="007D088E"/>
    <w:rsid w:val="007D7949"/>
    <w:rsid w:val="007D7BE4"/>
    <w:rsid w:val="007F325B"/>
    <w:rsid w:val="00801403"/>
    <w:rsid w:val="008072BC"/>
    <w:rsid w:val="0081135D"/>
    <w:rsid w:val="00822095"/>
    <w:rsid w:val="00824DC7"/>
    <w:rsid w:val="008356FE"/>
    <w:rsid w:val="008358E0"/>
    <w:rsid w:val="00835EF0"/>
    <w:rsid w:val="0084321B"/>
    <w:rsid w:val="00852114"/>
    <w:rsid w:val="0085502E"/>
    <w:rsid w:val="0085618C"/>
    <w:rsid w:val="00861369"/>
    <w:rsid w:val="0086347A"/>
    <w:rsid w:val="00863603"/>
    <w:rsid w:val="008661DF"/>
    <w:rsid w:val="00870891"/>
    <w:rsid w:val="00870F73"/>
    <w:rsid w:val="00871F38"/>
    <w:rsid w:val="00872DD9"/>
    <w:rsid w:val="008813E3"/>
    <w:rsid w:val="008878A6"/>
    <w:rsid w:val="008949B0"/>
    <w:rsid w:val="008A0243"/>
    <w:rsid w:val="008A262F"/>
    <w:rsid w:val="008A303C"/>
    <w:rsid w:val="008A33F6"/>
    <w:rsid w:val="008A6849"/>
    <w:rsid w:val="008B40A2"/>
    <w:rsid w:val="008B5E9E"/>
    <w:rsid w:val="008C7746"/>
    <w:rsid w:val="008C79AF"/>
    <w:rsid w:val="008F7DEF"/>
    <w:rsid w:val="00911868"/>
    <w:rsid w:val="0092428C"/>
    <w:rsid w:val="00934B48"/>
    <w:rsid w:val="00944DFE"/>
    <w:rsid w:val="00945141"/>
    <w:rsid w:val="00946C22"/>
    <w:rsid w:val="009547F3"/>
    <w:rsid w:val="009578E6"/>
    <w:rsid w:val="00964754"/>
    <w:rsid w:val="0096651B"/>
    <w:rsid w:val="0098346B"/>
    <w:rsid w:val="0098617F"/>
    <w:rsid w:val="0099110E"/>
    <w:rsid w:val="00993BB4"/>
    <w:rsid w:val="009A3ABF"/>
    <w:rsid w:val="009A73FD"/>
    <w:rsid w:val="009B5270"/>
    <w:rsid w:val="009D221E"/>
    <w:rsid w:val="009D254C"/>
    <w:rsid w:val="009D4590"/>
    <w:rsid w:val="009E12B5"/>
    <w:rsid w:val="009E2CC3"/>
    <w:rsid w:val="009E575A"/>
    <w:rsid w:val="00A00C0E"/>
    <w:rsid w:val="00A1507A"/>
    <w:rsid w:val="00A36905"/>
    <w:rsid w:val="00A47CD3"/>
    <w:rsid w:val="00A52942"/>
    <w:rsid w:val="00A56740"/>
    <w:rsid w:val="00A706D0"/>
    <w:rsid w:val="00A8061C"/>
    <w:rsid w:val="00A81A1E"/>
    <w:rsid w:val="00A95B3C"/>
    <w:rsid w:val="00AA4F19"/>
    <w:rsid w:val="00AB7CFF"/>
    <w:rsid w:val="00AC3A4E"/>
    <w:rsid w:val="00AC718E"/>
    <w:rsid w:val="00AE2C71"/>
    <w:rsid w:val="00AE6817"/>
    <w:rsid w:val="00AE6931"/>
    <w:rsid w:val="00AF20CD"/>
    <w:rsid w:val="00AF792D"/>
    <w:rsid w:val="00AF7D99"/>
    <w:rsid w:val="00B03F34"/>
    <w:rsid w:val="00B042A0"/>
    <w:rsid w:val="00B06295"/>
    <w:rsid w:val="00B10E25"/>
    <w:rsid w:val="00B26E9E"/>
    <w:rsid w:val="00B27676"/>
    <w:rsid w:val="00B327B3"/>
    <w:rsid w:val="00B32BE1"/>
    <w:rsid w:val="00B32F2C"/>
    <w:rsid w:val="00B33FEE"/>
    <w:rsid w:val="00B37454"/>
    <w:rsid w:val="00B376C1"/>
    <w:rsid w:val="00B40102"/>
    <w:rsid w:val="00B506D2"/>
    <w:rsid w:val="00B5384D"/>
    <w:rsid w:val="00B64AE3"/>
    <w:rsid w:val="00B71901"/>
    <w:rsid w:val="00B76838"/>
    <w:rsid w:val="00B81E43"/>
    <w:rsid w:val="00B82679"/>
    <w:rsid w:val="00B87AB6"/>
    <w:rsid w:val="00BA58AC"/>
    <w:rsid w:val="00BA63EA"/>
    <w:rsid w:val="00BC2CD2"/>
    <w:rsid w:val="00BD3051"/>
    <w:rsid w:val="00BF4707"/>
    <w:rsid w:val="00BF6ACB"/>
    <w:rsid w:val="00C1488D"/>
    <w:rsid w:val="00C23A62"/>
    <w:rsid w:val="00C23D41"/>
    <w:rsid w:val="00C244D8"/>
    <w:rsid w:val="00C2480B"/>
    <w:rsid w:val="00C24A94"/>
    <w:rsid w:val="00C24B83"/>
    <w:rsid w:val="00C31A0A"/>
    <w:rsid w:val="00C346F9"/>
    <w:rsid w:val="00C51C78"/>
    <w:rsid w:val="00C52572"/>
    <w:rsid w:val="00C5787C"/>
    <w:rsid w:val="00C605E7"/>
    <w:rsid w:val="00C60AE5"/>
    <w:rsid w:val="00C76F42"/>
    <w:rsid w:val="00C86D02"/>
    <w:rsid w:val="00C94197"/>
    <w:rsid w:val="00CA0E0A"/>
    <w:rsid w:val="00CA4393"/>
    <w:rsid w:val="00CA7030"/>
    <w:rsid w:val="00CA7515"/>
    <w:rsid w:val="00CB1880"/>
    <w:rsid w:val="00CB3BA1"/>
    <w:rsid w:val="00CC1D9D"/>
    <w:rsid w:val="00CE65E7"/>
    <w:rsid w:val="00CE77E3"/>
    <w:rsid w:val="00CE7F2D"/>
    <w:rsid w:val="00D16E66"/>
    <w:rsid w:val="00D170C4"/>
    <w:rsid w:val="00D25D2A"/>
    <w:rsid w:val="00D278C8"/>
    <w:rsid w:val="00D350D0"/>
    <w:rsid w:val="00D37ECB"/>
    <w:rsid w:val="00D44C7F"/>
    <w:rsid w:val="00D47A2A"/>
    <w:rsid w:val="00D52472"/>
    <w:rsid w:val="00D53915"/>
    <w:rsid w:val="00D657E0"/>
    <w:rsid w:val="00D73660"/>
    <w:rsid w:val="00D75ED9"/>
    <w:rsid w:val="00D76351"/>
    <w:rsid w:val="00D77081"/>
    <w:rsid w:val="00D80012"/>
    <w:rsid w:val="00D80DE0"/>
    <w:rsid w:val="00D962D7"/>
    <w:rsid w:val="00DB02A0"/>
    <w:rsid w:val="00DB2E10"/>
    <w:rsid w:val="00DB7D83"/>
    <w:rsid w:val="00DC175C"/>
    <w:rsid w:val="00DC26B4"/>
    <w:rsid w:val="00DC3E6F"/>
    <w:rsid w:val="00DC62AF"/>
    <w:rsid w:val="00DC75BF"/>
    <w:rsid w:val="00DD0887"/>
    <w:rsid w:val="00DE40B2"/>
    <w:rsid w:val="00DF2F17"/>
    <w:rsid w:val="00E07A53"/>
    <w:rsid w:val="00E130E3"/>
    <w:rsid w:val="00E16B38"/>
    <w:rsid w:val="00E2222A"/>
    <w:rsid w:val="00E225E5"/>
    <w:rsid w:val="00E27B8A"/>
    <w:rsid w:val="00E36C00"/>
    <w:rsid w:val="00E514DB"/>
    <w:rsid w:val="00E54A7F"/>
    <w:rsid w:val="00E62D25"/>
    <w:rsid w:val="00E642C7"/>
    <w:rsid w:val="00E70C03"/>
    <w:rsid w:val="00E812CB"/>
    <w:rsid w:val="00E93EF5"/>
    <w:rsid w:val="00EA4746"/>
    <w:rsid w:val="00EA6E81"/>
    <w:rsid w:val="00EB6B04"/>
    <w:rsid w:val="00EC4B6C"/>
    <w:rsid w:val="00ED6B29"/>
    <w:rsid w:val="00EF04FA"/>
    <w:rsid w:val="00EF10C5"/>
    <w:rsid w:val="00EF41AC"/>
    <w:rsid w:val="00EF4E56"/>
    <w:rsid w:val="00EF6E79"/>
    <w:rsid w:val="00F05268"/>
    <w:rsid w:val="00F12CCF"/>
    <w:rsid w:val="00F13DEA"/>
    <w:rsid w:val="00F15A89"/>
    <w:rsid w:val="00F46719"/>
    <w:rsid w:val="00F47EED"/>
    <w:rsid w:val="00F5491F"/>
    <w:rsid w:val="00F656FF"/>
    <w:rsid w:val="00F72E39"/>
    <w:rsid w:val="00F74E32"/>
    <w:rsid w:val="00F846F5"/>
    <w:rsid w:val="00F85F17"/>
    <w:rsid w:val="00F87573"/>
    <w:rsid w:val="00FA40E5"/>
    <w:rsid w:val="00FA7A1C"/>
    <w:rsid w:val="00FC7B22"/>
    <w:rsid w:val="00FD06E7"/>
    <w:rsid w:val="00FD29E5"/>
    <w:rsid w:val="00FE25CB"/>
    <w:rsid w:val="00FF37EE"/>
    <w:rsid w:val="00FF75B6"/>
    <w:rsid w:val="00FF7D1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hu-HU" w:bidi="hu-HU"/>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footnote text" w:qFormat="1"/>
    <w:lsdException w:name="caption" w:uiPriority="35" w:qFormat="1"/>
    <w:lsdException w:name="endnote reference" w:uiPriority="0"/>
    <w:lsdException w:name="Title" w:semiHidden="0" w:uiPriority="3" w:unhideWhenUsed="0" w:qFormat="1"/>
    <w:lsdException w:name="Default Paragraph Font" w:uiPriority="1"/>
    <w:lsdException w:name="Subtitle" w:semiHidden="0" w:uiPriority="11" w:unhideWhenUsed="0"/>
    <w:lsdException w:name="Strong" w:semiHidden="0" w:uiPriority="22" w:unhideWhenUsed="0"/>
    <w:lsdException w:name="Emphasis" w:semiHidden="0" w:uiPriority="6"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74FEF"/>
    <w:pPr>
      <w:spacing w:after="0"/>
    </w:pPr>
    <w:rPr>
      <w:rFonts w:ascii="EYInterstate Light" w:hAnsi="EYInterstate Light"/>
    </w:rPr>
  </w:style>
  <w:style w:type="paragraph" w:styleId="Heading1">
    <w:name w:val="heading 1"/>
    <w:basedOn w:val="Normal"/>
    <w:next w:val="Normal"/>
    <w:link w:val="Heading1Char"/>
    <w:uiPriority w:val="1"/>
    <w:qFormat/>
    <w:rsid w:val="00774FEF"/>
    <w:pPr>
      <w:keepNext/>
      <w:keepLines/>
      <w:spacing w:before="320"/>
      <w:outlineLvl w:val="0"/>
    </w:pPr>
    <w:rPr>
      <w:rFonts w:asciiTheme="majorHAnsi" w:eastAsiaTheme="majorEastAsia" w:hAnsiTheme="majorHAnsi" w:cstheme="majorBidi"/>
      <w:b/>
      <w:bCs/>
      <w:color w:val="808080" w:themeColor="accent1"/>
      <w:sz w:val="32"/>
      <w:szCs w:val="28"/>
    </w:rPr>
  </w:style>
  <w:style w:type="paragraph" w:styleId="Heading2">
    <w:name w:val="heading 2"/>
    <w:basedOn w:val="Normal"/>
    <w:next w:val="Normal"/>
    <w:link w:val="Heading2Char"/>
    <w:uiPriority w:val="1"/>
    <w:unhideWhenUsed/>
    <w:qFormat/>
    <w:rsid w:val="00774FEF"/>
    <w:pPr>
      <w:keepNext/>
      <w:keepLines/>
      <w:spacing w:before="8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1"/>
    <w:unhideWhenUsed/>
    <w:qFormat/>
    <w:rsid w:val="00774FEF"/>
    <w:pPr>
      <w:keepNext/>
      <w:keepLines/>
      <w:spacing w:before="120"/>
      <w:outlineLvl w:val="2"/>
    </w:pPr>
    <w:rPr>
      <w:rFonts w:asciiTheme="majorHAnsi" w:eastAsiaTheme="majorEastAsia" w:hAnsiTheme="majorHAnsi" w:cstheme="majorBidi"/>
      <w:b/>
      <w:bCs/>
      <w:color w:val="808080" w:themeColor="accent1"/>
    </w:rPr>
  </w:style>
  <w:style w:type="paragraph" w:styleId="Heading4">
    <w:name w:val="heading 4"/>
    <w:basedOn w:val="Normal"/>
    <w:next w:val="Normal"/>
    <w:link w:val="Heading4Char"/>
    <w:uiPriority w:val="1"/>
    <w:unhideWhenUsed/>
    <w:qFormat/>
    <w:rsid w:val="00774FEF"/>
    <w:pPr>
      <w:keepNext/>
      <w:keepLines/>
      <w:spacing w:before="200" w:after="200"/>
      <w:outlineLvl w:val="3"/>
    </w:pPr>
    <w:rPr>
      <w:rFonts w:asciiTheme="majorHAnsi" w:eastAsiaTheme="majorEastAsia" w:hAnsiTheme="majorHAnsi" w:cstheme="majorBidi"/>
      <w:b/>
      <w:bCs/>
      <w:i/>
      <w:iCs/>
      <w:color w:val="808080" w:themeColor="accent1"/>
    </w:rPr>
  </w:style>
  <w:style w:type="paragraph" w:styleId="Heading5">
    <w:name w:val="heading 5"/>
    <w:basedOn w:val="Normal"/>
    <w:next w:val="Normal"/>
    <w:link w:val="Heading5Char"/>
    <w:uiPriority w:val="1"/>
    <w:unhideWhenUsed/>
    <w:qFormat/>
    <w:rsid w:val="00387FA4"/>
    <w:pPr>
      <w:keepNext/>
      <w:keepLines/>
      <w:spacing w:before="200"/>
      <w:outlineLvl w:val="4"/>
    </w:pPr>
    <w:rPr>
      <w:rFonts w:asciiTheme="majorHAnsi" w:eastAsiaTheme="majorEastAsia" w:hAnsiTheme="majorHAnsi" w:cstheme="majorBidi"/>
      <w:color w:val="3F3F3F" w:themeColor="accent1" w:themeShade="7F"/>
      <w:sz w:val="20"/>
    </w:rPr>
  </w:style>
  <w:style w:type="paragraph" w:styleId="Heading6">
    <w:name w:val="heading 6"/>
    <w:basedOn w:val="Normal"/>
    <w:next w:val="Normal"/>
    <w:link w:val="Heading6Char"/>
    <w:uiPriority w:val="1"/>
    <w:unhideWhenUsed/>
    <w:qFormat/>
    <w:rsid w:val="00DB2039"/>
    <w:pPr>
      <w:keepNext/>
      <w:keepLines/>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link w:val="Heading7Char"/>
    <w:uiPriority w:val="9"/>
    <w:qFormat/>
    <w:rsid w:val="00C621D9"/>
    <w:pPr>
      <w:tabs>
        <w:tab w:val="num" w:pos="4320"/>
      </w:tabs>
      <w:spacing w:after="180" w:line="240" w:lineRule="auto"/>
      <w:ind w:left="4320" w:hanging="720"/>
      <w:jc w:val="both"/>
      <w:outlineLvl w:val="6"/>
    </w:pPr>
    <w:rPr>
      <w:rFonts w:ascii="Times New Roman" w:eastAsia="MS Mincho" w:hAnsi="Times New Roman" w:cs="Times New Roman"/>
    </w:rPr>
  </w:style>
  <w:style w:type="paragraph" w:styleId="Heading8">
    <w:name w:val="heading 8"/>
    <w:basedOn w:val="Normal"/>
    <w:next w:val="Normal"/>
    <w:link w:val="Heading8Char"/>
    <w:uiPriority w:val="9"/>
    <w:semiHidden/>
    <w:unhideWhenUsed/>
    <w:qFormat/>
    <w:rsid w:val="00387FA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87FA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4FE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6D2"/>
    <w:rPr>
      <w:rFonts w:ascii="Tahoma" w:hAnsi="Tahoma" w:cs="Tahoma"/>
      <w:sz w:val="16"/>
      <w:szCs w:val="16"/>
    </w:rPr>
  </w:style>
  <w:style w:type="paragraph" w:customStyle="1" w:styleId="TASAnnotationnumber">
    <w:name w:val="TAS Annotation number"/>
    <w:basedOn w:val="TASBodytext"/>
    <w:rsid w:val="00774FEF"/>
    <w:pPr>
      <w:jc w:val="right"/>
    </w:pPr>
    <w:rPr>
      <w:b/>
      <w:sz w:val="24"/>
    </w:rPr>
  </w:style>
  <w:style w:type="paragraph" w:customStyle="1" w:styleId="TASAnnotationtext">
    <w:name w:val="TAS Annotation text"/>
    <w:basedOn w:val="TASBodytext"/>
    <w:rsid w:val="00774FEF"/>
    <w:pPr>
      <w:spacing w:after="0"/>
      <w:jc w:val="left"/>
    </w:pPr>
    <w:rPr>
      <w:sz w:val="16"/>
    </w:rPr>
  </w:style>
  <w:style w:type="numbering" w:customStyle="1" w:styleId="TASBulletliststyle">
    <w:name w:val="TAS Bullet list style"/>
    <w:uiPriority w:val="99"/>
    <w:rsid w:val="00774FEF"/>
    <w:pPr>
      <w:numPr>
        <w:numId w:val="54"/>
      </w:numPr>
    </w:pPr>
  </w:style>
  <w:style w:type="numbering" w:customStyle="1" w:styleId="TASBulletnumberlist">
    <w:name w:val="TAS Bullet number list"/>
    <w:uiPriority w:val="99"/>
    <w:rsid w:val="00774FEF"/>
    <w:pPr>
      <w:numPr>
        <w:numId w:val="1"/>
      </w:numPr>
    </w:pPr>
  </w:style>
  <w:style w:type="paragraph" w:customStyle="1" w:styleId="TASCustomtablehead">
    <w:name w:val="TAS Custom table head"/>
    <w:basedOn w:val="Normal"/>
    <w:rsid w:val="007F325B"/>
    <w:pPr>
      <w:spacing w:before="60" w:after="60"/>
    </w:pPr>
    <w:rPr>
      <w:rFonts w:eastAsia="MS Mincho" w:cs="Arial"/>
      <w:color w:val="FFFFFF" w:themeColor="text2"/>
      <w:szCs w:val="20"/>
    </w:rPr>
  </w:style>
  <w:style w:type="paragraph" w:customStyle="1" w:styleId="TASFooterconfidential">
    <w:name w:val="TAS Footer confidential"/>
    <w:basedOn w:val="TASFooter"/>
    <w:rsid w:val="00774FEF"/>
    <w:pPr>
      <w:framePr w:wrap="around" w:vAnchor="page" w:hAnchor="page" w:xAlign="center" w:y="15927" w:anchorLock="1"/>
      <w:jc w:val="center"/>
    </w:pPr>
  </w:style>
  <w:style w:type="character" w:customStyle="1" w:styleId="Heading1Char">
    <w:name w:val="Heading 1 Char"/>
    <w:basedOn w:val="DefaultParagraphFont"/>
    <w:link w:val="Heading1"/>
    <w:uiPriority w:val="1"/>
    <w:rsid w:val="00F46719"/>
    <w:rPr>
      <w:rFonts w:asciiTheme="majorHAnsi" w:eastAsiaTheme="majorEastAsia" w:hAnsiTheme="majorHAnsi" w:cstheme="majorBidi"/>
      <w:b/>
      <w:bCs/>
      <w:color w:val="808080" w:themeColor="accent1"/>
      <w:sz w:val="32"/>
      <w:szCs w:val="28"/>
    </w:rPr>
  </w:style>
  <w:style w:type="character" w:customStyle="1" w:styleId="Heading2Char">
    <w:name w:val="Heading 2 Char"/>
    <w:basedOn w:val="DefaultParagraphFont"/>
    <w:link w:val="Heading2"/>
    <w:uiPriority w:val="1"/>
    <w:rsid w:val="00F46719"/>
    <w:rPr>
      <w:rFonts w:asciiTheme="majorHAnsi" w:eastAsiaTheme="majorEastAsia" w:hAnsiTheme="majorHAnsi" w:cstheme="majorBidi"/>
      <w:b/>
      <w:bCs/>
      <w:szCs w:val="26"/>
    </w:rPr>
  </w:style>
  <w:style w:type="character" w:customStyle="1" w:styleId="Heading3Char">
    <w:name w:val="Heading 3 Char"/>
    <w:basedOn w:val="DefaultParagraphFont"/>
    <w:link w:val="Heading3"/>
    <w:uiPriority w:val="1"/>
    <w:rsid w:val="00F46719"/>
    <w:rPr>
      <w:rFonts w:asciiTheme="majorHAnsi" w:eastAsiaTheme="majorEastAsia" w:hAnsiTheme="majorHAnsi" w:cstheme="majorBidi"/>
      <w:b/>
      <w:bCs/>
      <w:color w:val="808080" w:themeColor="accent1"/>
    </w:rPr>
  </w:style>
  <w:style w:type="character" w:customStyle="1" w:styleId="Heading4Char">
    <w:name w:val="Heading 4 Char"/>
    <w:basedOn w:val="DefaultParagraphFont"/>
    <w:link w:val="Heading4"/>
    <w:uiPriority w:val="1"/>
    <w:rsid w:val="00F46719"/>
    <w:rPr>
      <w:rFonts w:asciiTheme="majorHAnsi" w:eastAsiaTheme="majorEastAsia" w:hAnsiTheme="majorHAnsi" w:cstheme="majorBidi"/>
      <w:b/>
      <w:bCs/>
      <w:i/>
      <w:iCs/>
      <w:color w:val="808080" w:themeColor="accent1"/>
    </w:rPr>
  </w:style>
  <w:style w:type="paragraph" w:customStyle="1" w:styleId="TASFooterconfidentialA4port">
    <w:name w:val="TAS Footer confidential A4 port"/>
    <w:basedOn w:val="TASFooterconfidential"/>
    <w:rsid w:val="00774FEF"/>
    <w:pPr>
      <w:framePr w:w="3211" w:wrap="around"/>
    </w:pPr>
  </w:style>
  <w:style w:type="paragraph" w:customStyle="1" w:styleId="TASFooterdatefield">
    <w:name w:val="TAS Footer date field"/>
    <w:basedOn w:val="TASFooter"/>
    <w:next w:val="TASBodytext"/>
    <w:rsid w:val="00774FEF"/>
    <w:pPr>
      <w:framePr w:w="3600" w:hSpace="187" w:wrap="around" w:vAnchor="page" w:hAnchor="page" w:x="1441" w:y="11003" w:anchorLock="1"/>
    </w:pPr>
    <w:rPr>
      <w:szCs w:val="16"/>
    </w:rPr>
  </w:style>
  <w:style w:type="table" w:styleId="TableGrid">
    <w:name w:val="Table Grid"/>
    <w:aliases w:val="Szegély nélküli"/>
    <w:basedOn w:val="TableNormal"/>
    <w:uiPriority w:val="59"/>
    <w:rsid w:val="00774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SNormal">
    <w:name w:val="TAS Normal"/>
    <w:rsid w:val="00774FEF"/>
    <w:pPr>
      <w:spacing w:after="0" w:line="240" w:lineRule="auto"/>
    </w:pPr>
    <w:rPr>
      <w:rFonts w:ascii="Arial" w:eastAsia="MS Mincho" w:hAnsi="Arial" w:cs="Arial"/>
      <w:sz w:val="20"/>
      <w:szCs w:val="20"/>
    </w:rPr>
  </w:style>
  <w:style w:type="paragraph" w:customStyle="1" w:styleId="TASBodytext">
    <w:name w:val="TAS Body text"/>
    <w:basedOn w:val="TASNormal"/>
    <w:qFormat/>
    <w:rsid w:val="00774FEF"/>
    <w:pPr>
      <w:spacing w:after="120"/>
      <w:jc w:val="both"/>
    </w:pPr>
  </w:style>
  <w:style w:type="paragraph" w:customStyle="1" w:styleId="TASBoilerplateheading">
    <w:name w:val="TAS Boilerplate heading"/>
    <w:basedOn w:val="TASNormal"/>
    <w:rsid w:val="00774FEF"/>
  </w:style>
  <w:style w:type="paragraph" w:customStyle="1" w:styleId="TASBoilerplatetext">
    <w:name w:val="TAS Boilerplate text"/>
    <w:basedOn w:val="TASNormal"/>
    <w:rsid w:val="00774FEF"/>
    <w:rPr>
      <w:sz w:val="16"/>
      <w:szCs w:val="16"/>
    </w:rPr>
  </w:style>
  <w:style w:type="paragraph" w:customStyle="1" w:styleId="TASBullet1">
    <w:name w:val="TAS Bullet 1"/>
    <w:basedOn w:val="TASNormal"/>
    <w:uiPriority w:val="99"/>
    <w:qFormat/>
    <w:rsid w:val="00774FEF"/>
    <w:pPr>
      <w:numPr>
        <w:numId w:val="7"/>
      </w:numPr>
      <w:spacing w:after="120"/>
      <w:jc w:val="both"/>
    </w:pPr>
  </w:style>
  <w:style w:type="paragraph" w:customStyle="1" w:styleId="TASBullet2">
    <w:name w:val="TAS Bullet 2"/>
    <w:basedOn w:val="TASNormal"/>
    <w:uiPriority w:val="99"/>
    <w:qFormat/>
    <w:rsid w:val="00774FEF"/>
    <w:pPr>
      <w:numPr>
        <w:ilvl w:val="1"/>
        <w:numId w:val="7"/>
      </w:numPr>
      <w:spacing w:after="120"/>
      <w:jc w:val="both"/>
    </w:pPr>
  </w:style>
  <w:style w:type="paragraph" w:customStyle="1" w:styleId="TASBulletnumber">
    <w:name w:val="TAS Bullet number"/>
    <w:basedOn w:val="TASBodytext"/>
    <w:rsid w:val="00774FEF"/>
    <w:pPr>
      <w:numPr>
        <w:numId w:val="8"/>
      </w:numPr>
    </w:pPr>
    <w:rPr>
      <w:rFonts w:eastAsiaTheme="minorHAnsi"/>
      <w:szCs w:val="28"/>
    </w:rPr>
  </w:style>
  <w:style w:type="paragraph" w:customStyle="1" w:styleId="TASCaption">
    <w:name w:val="TAS Caption"/>
    <w:basedOn w:val="TASBodytext"/>
    <w:rsid w:val="00774FEF"/>
    <w:pPr>
      <w:jc w:val="center"/>
    </w:pPr>
    <w:rPr>
      <w:rFonts w:eastAsiaTheme="minorHAnsi"/>
      <w:sz w:val="16"/>
      <w:szCs w:val="16"/>
    </w:rPr>
  </w:style>
  <w:style w:type="paragraph" w:customStyle="1" w:styleId="TASContactinfo">
    <w:name w:val="TAS Contact info"/>
    <w:basedOn w:val="TASBodytext"/>
    <w:rsid w:val="00774FEF"/>
    <w:pPr>
      <w:spacing w:before="20" w:after="20"/>
    </w:pPr>
    <w:rPr>
      <w:rFonts w:eastAsiaTheme="minorHAnsi"/>
      <w:sz w:val="16"/>
      <w:szCs w:val="16"/>
    </w:rPr>
  </w:style>
  <w:style w:type="paragraph" w:customStyle="1" w:styleId="TASCoverdraft">
    <w:name w:val="TAS Cover draft"/>
    <w:basedOn w:val="TASBodytext"/>
    <w:next w:val="TASBodytext"/>
    <w:rsid w:val="00774FEF"/>
    <w:rPr>
      <w:rFonts w:eastAsiaTheme="minorHAnsi"/>
      <w:b/>
      <w:bCs/>
      <w:color w:val="808080" w:themeColor="accent1"/>
      <w:sz w:val="24"/>
      <w:szCs w:val="24"/>
    </w:rPr>
  </w:style>
  <w:style w:type="table" w:customStyle="1" w:styleId="TASCustomtable">
    <w:name w:val="TAS Custom table"/>
    <w:basedOn w:val="TableNormal"/>
    <w:uiPriority w:val="99"/>
    <w:qFormat/>
    <w:rsid w:val="00774FEF"/>
    <w:pPr>
      <w:spacing w:before="20" w:after="20"/>
    </w:pPr>
    <w:rPr>
      <w:rFonts w:ascii="Arial" w:hAnsi="Arial"/>
      <w:sz w:val="20"/>
      <w:szCs w:val="20"/>
    </w:rPr>
    <w:tblPr>
      <w:tblStyleRowBandSize w:val="1"/>
      <w:tblBorders>
        <w:top w:val="single" w:sz="12" w:space="0" w:color="FFFFFF" w:themeColor="text2"/>
        <w:left w:val="single" w:sz="12" w:space="0" w:color="FFFFFF" w:themeColor="text2"/>
        <w:bottom w:val="single" w:sz="12" w:space="0" w:color="FFFFFF" w:themeColor="text2"/>
        <w:right w:val="single" w:sz="12" w:space="0" w:color="FFFFFF" w:themeColor="text2"/>
        <w:insideH w:val="single" w:sz="12" w:space="0" w:color="FFFFFF" w:themeColor="text2"/>
        <w:insideV w:val="single" w:sz="12" w:space="0" w:color="FFFFFF" w:themeColor="text2"/>
      </w:tblBorders>
      <w:tblCellMar>
        <w:top w:w="43" w:type="dxa"/>
        <w:left w:w="115" w:type="dxa"/>
        <w:bottom w:w="43" w:type="dxa"/>
        <w:right w:w="115" w:type="dxa"/>
      </w:tblCellMar>
    </w:tblPr>
    <w:tcPr>
      <w:shd w:val="clear" w:color="auto" w:fill="E5E5E5" w:themeFill="accent1" w:themeFillTint="33"/>
    </w:tcPr>
    <w:tblStylePr w:type="firstRow">
      <w:pPr>
        <w:wordWrap/>
        <w:spacing w:beforeLines="0" w:beforeAutospacing="0" w:afterLines="0" w:afterAutospacing="0" w:line="240" w:lineRule="auto"/>
      </w:pPr>
      <w:rPr>
        <w:rFonts w:ascii="Arial" w:hAnsi="Arial"/>
        <w:b/>
        <w:bCs/>
        <w:color w:val="FFFFFF" w:themeColor="text2"/>
        <w:sz w:val="20"/>
      </w:rPr>
      <w:tblPr/>
      <w:trPr>
        <w:tblHeader/>
      </w:trPr>
      <w:tcPr>
        <w:tcBorders>
          <w:top w:val="single" w:sz="12" w:space="0" w:color="FFFFFF" w:themeColor="text2"/>
          <w:left w:val="single" w:sz="12" w:space="0" w:color="FFFFFF" w:themeColor="text2"/>
          <w:bottom w:val="single" w:sz="12" w:space="0" w:color="FFFFFF" w:themeColor="text2"/>
          <w:right w:val="single" w:sz="12" w:space="0" w:color="FFFFFF" w:themeColor="text2"/>
          <w:insideH w:val="single" w:sz="12" w:space="0" w:color="FFFFFF" w:themeColor="text2"/>
          <w:insideV w:val="single" w:sz="12" w:space="0" w:color="FFFFFF" w:themeColor="text2"/>
        </w:tcBorders>
        <w:shd w:val="clear" w:color="auto" w:fill="999999" w:themeFill="accent3"/>
        <w:vAlign w:val="bottom"/>
      </w:tcPr>
    </w:tblStylePr>
    <w:tblStylePr w:type="lastRow">
      <w:pPr>
        <w:spacing w:before="0" w:after="0" w:line="240" w:lineRule="auto"/>
      </w:pPr>
      <w:rPr>
        <w:rFonts w:ascii="Arial" w:hAnsi="Arial"/>
        <w:b w:val="0"/>
        <w:bCs/>
        <w:color w:val="auto"/>
        <w:sz w:val="20"/>
      </w:rPr>
      <w:tblPr/>
      <w:tcPr>
        <w:tcBorders>
          <w:top w:val="nil"/>
          <w:left w:val="nil"/>
          <w:bottom w:val="nil"/>
          <w:right w:val="nil"/>
          <w:insideH w:val="nil"/>
          <w:insideV w:val="nil"/>
        </w:tcBorders>
        <w:shd w:val="clear" w:color="auto" w:fill="F0F0F0" w:themeFill="accent4"/>
      </w:tcPr>
    </w:tblStylePr>
    <w:tblStylePr w:type="firstCol">
      <w:pPr>
        <w:wordWrap/>
        <w:jc w:val="left"/>
        <w:outlineLvl w:val="9"/>
      </w:pPr>
      <w:rPr>
        <w:rFonts w:ascii="Arial" w:hAnsi="Arial"/>
        <w:b w:val="0"/>
        <w:bCs/>
        <w:sz w:val="20"/>
      </w:rPr>
    </w:tblStylePr>
    <w:tblStylePr w:type="lastCol">
      <w:pPr>
        <w:wordWrap/>
        <w:spacing w:beforeLines="0" w:beforeAutospacing="0" w:afterLines="0" w:afterAutospacing="0" w:line="240" w:lineRule="auto"/>
        <w:jc w:val="right"/>
      </w:pPr>
      <w:rPr>
        <w:b w:val="0"/>
        <w:bCs/>
      </w:rPr>
    </w:tblStylePr>
    <w:tblStylePr w:type="band1Vert">
      <w:tblPr/>
      <w:tcPr>
        <w:tcBorders>
          <w:left w:val="nil"/>
          <w:right w:val="nil"/>
          <w:insideH w:val="nil"/>
          <w:insideV w:val="nil"/>
        </w:tcBorders>
        <w:shd w:val="clear" w:color="auto" w:fill="FBFBFB" w:themeFill="accent4" w:themeFillTint="3F"/>
      </w:tcPr>
    </w:tblStylePr>
    <w:tblStylePr w:type="band1Horz">
      <w:rPr>
        <w:rFonts w:ascii="Arial" w:hAnsi="Arial"/>
        <w:color w:val="auto"/>
        <w:sz w:val="20"/>
      </w:rPr>
      <w:tblPr/>
      <w:tcPr>
        <w:tcBorders>
          <w:top w:val="single" w:sz="12" w:space="0" w:color="FFFFFF" w:themeColor="text2"/>
          <w:left w:val="single" w:sz="12" w:space="0" w:color="FFFFFF" w:themeColor="text2"/>
          <w:bottom w:val="single" w:sz="12" w:space="0" w:color="FFFFFF" w:themeColor="text2"/>
          <w:right w:val="single" w:sz="12" w:space="0" w:color="FFFFFF" w:themeColor="text2"/>
          <w:insideH w:val="single" w:sz="12" w:space="0" w:color="FFFFFF" w:themeColor="text2"/>
          <w:insideV w:val="single" w:sz="12" w:space="0" w:color="FFFFFF" w:themeColor="text2"/>
        </w:tcBorders>
        <w:shd w:val="clear" w:color="auto" w:fill="F0F0F0" w:themeFill="accent4"/>
      </w:tcPr>
    </w:tblStylePr>
    <w:tblStylePr w:type="band2Horz">
      <w:rPr>
        <w:rFonts w:ascii="Arial" w:hAnsi="Arial"/>
        <w:color w:val="auto"/>
        <w:sz w:val="20"/>
      </w:rPr>
      <w:tblPr/>
      <w:tcPr>
        <w:tcBorders>
          <w:top w:val="single" w:sz="12" w:space="0" w:color="FFFFFF" w:themeColor="text2"/>
          <w:left w:val="single" w:sz="12" w:space="0" w:color="FFFFFF" w:themeColor="text2"/>
          <w:bottom w:val="single" w:sz="12" w:space="0" w:color="FFFFFF" w:themeColor="text2"/>
          <w:right w:val="single" w:sz="12" w:space="0" w:color="FFFFFF" w:themeColor="text2"/>
          <w:insideH w:val="single" w:sz="12" w:space="0" w:color="FFFFFF" w:themeColor="text2"/>
          <w:insideV w:val="single" w:sz="12" w:space="0" w:color="FFFFFF" w:themeColor="text2"/>
        </w:tcBorders>
        <w:shd w:val="clear" w:color="auto" w:fill="D8D8D8" w:themeFill="accent4" w:themeFillShade="E6"/>
      </w:tcPr>
    </w:tblStylePr>
  </w:style>
  <w:style w:type="table" w:customStyle="1" w:styleId="TASCustomtable2">
    <w:name w:val="TAS Custom table 2"/>
    <w:basedOn w:val="TASCustomtable"/>
    <w:uiPriority w:val="99"/>
    <w:qFormat/>
    <w:rsid w:val="00774FEF"/>
    <w:pPr>
      <w:spacing w:after="0"/>
    </w:pPr>
    <w:tblPr>
      <w:tblBorders>
        <w:top w:val="single" w:sz="6" w:space="0" w:color="808080" w:themeColor="accent1"/>
        <w:left w:val="single" w:sz="6" w:space="0" w:color="808080" w:themeColor="accent1"/>
        <w:bottom w:val="single" w:sz="6" w:space="0" w:color="808080" w:themeColor="accent1"/>
        <w:right w:val="single" w:sz="6" w:space="0" w:color="808080" w:themeColor="accent1"/>
        <w:insideH w:val="single" w:sz="6" w:space="0" w:color="808080" w:themeColor="accent1"/>
        <w:insideV w:val="single" w:sz="6" w:space="0" w:color="808080" w:themeColor="accent1"/>
      </w:tblBorders>
    </w:tblPr>
    <w:tcPr>
      <w:shd w:val="clear" w:color="auto" w:fill="E5E5E5" w:themeFill="accent1" w:themeFillTint="33"/>
    </w:tcPr>
    <w:tblStylePr w:type="firstRow">
      <w:pPr>
        <w:wordWrap/>
        <w:spacing w:beforeLines="0" w:beforeAutospacing="0" w:afterLines="0" w:afterAutospacing="0" w:line="240" w:lineRule="auto"/>
      </w:pPr>
      <w:rPr>
        <w:rFonts w:ascii="Arial" w:hAnsi="Arial"/>
        <w:b/>
        <w:bCs/>
        <w:color w:val="FFFFFF" w:themeColor="text2"/>
        <w:sz w:val="20"/>
      </w:rPr>
      <w:tblPr/>
      <w:trPr>
        <w:tblHeader/>
      </w:trPr>
      <w:tcPr>
        <w:tcBorders>
          <w:top w:val="single" w:sz="6" w:space="0" w:color="808080" w:themeColor="accent1"/>
          <w:left w:val="single" w:sz="6" w:space="0" w:color="808080" w:themeColor="accent1"/>
          <w:bottom w:val="single" w:sz="6" w:space="0" w:color="808080" w:themeColor="accent1"/>
          <w:right w:val="single" w:sz="6" w:space="0" w:color="808080" w:themeColor="accent1"/>
          <w:insideH w:val="single" w:sz="6" w:space="0" w:color="808080" w:themeColor="accent1"/>
          <w:insideV w:val="single" w:sz="6" w:space="0" w:color="808080" w:themeColor="accent1"/>
        </w:tcBorders>
        <w:shd w:val="clear" w:color="auto" w:fill="999999" w:themeFill="accent3"/>
        <w:vAlign w:val="bottom"/>
      </w:tcPr>
    </w:tblStylePr>
    <w:tblStylePr w:type="lastRow">
      <w:pPr>
        <w:spacing w:before="0" w:after="0" w:line="240" w:lineRule="auto"/>
      </w:pPr>
      <w:rPr>
        <w:rFonts w:ascii="Arial" w:hAnsi="Arial"/>
        <w:b w:val="0"/>
        <w:bCs/>
        <w:color w:val="auto"/>
        <w:sz w:val="20"/>
      </w:rPr>
      <w:tblPr/>
      <w:tcPr>
        <w:tcBorders>
          <w:top w:val="single" w:sz="6" w:space="0" w:color="808080" w:themeColor="accent1"/>
          <w:left w:val="single" w:sz="6" w:space="0" w:color="808080" w:themeColor="accent1"/>
          <w:bottom w:val="single" w:sz="6" w:space="0" w:color="808080" w:themeColor="accent1"/>
          <w:right w:val="single" w:sz="6" w:space="0" w:color="808080" w:themeColor="accent1"/>
          <w:insideH w:val="single" w:sz="6" w:space="0" w:color="808080" w:themeColor="accent1"/>
          <w:insideV w:val="single" w:sz="6" w:space="0" w:color="808080" w:themeColor="accent1"/>
        </w:tcBorders>
        <w:shd w:val="clear" w:color="auto" w:fill="F0F0F0" w:themeFill="accent4"/>
      </w:tcPr>
    </w:tblStylePr>
    <w:tblStylePr w:type="firstCol">
      <w:pPr>
        <w:wordWrap/>
        <w:jc w:val="left"/>
        <w:outlineLvl w:val="9"/>
      </w:pPr>
      <w:rPr>
        <w:rFonts w:ascii="Arial" w:hAnsi="Arial"/>
        <w:b w:val="0"/>
        <w:bCs/>
        <w:sz w:val="20"/>
      </w:rPr>
    </w:tblStylePr>
    <w:tblStylePr w:type="lastCol">
      <w:pPr>
        <w:wordWrap/>
        <w:spacing w:beforeLines="0" w:beforeAutospacing="0" w:afterLines="0" w:afterAutospacing="0" w:line="240" w:lineRule="auto"/>
        <w:jc w:val="right"/>
      </w:pPr>
      <w:rPr>
        <w:b w:val="0"/>
        <w:bCs/>
      </w:rPr>
    </w:tblStylePr>
    <w:tblStylePr w:type="band1Vert">
      <w:tblPr/>
      <w:tcPr>
        <w:tcBorders>
          <w:left w:val="nil"/>
          <w:right w:val="nil"/>
          <w:insideH w:val="nil"/>
          <w:insideV w:val="nil"/>
        </w:tcBorders>
        <w:shd w:val="clear" w:color="auto" w:fill="FBFBFB" w:themeFill="accent4" w:themeFillTint="3F"/>
      </w:tcPr>
    </w:tblStylePr>
    <w:tblStylePr w:type="band1Horz">
      <w:rPr>
        <w:rFonts w:ascii="Arial" w:hAnsi="Arial"/>
        <w:color w:val="auto"/>
        <w:sz w:val="20"/>
      </w:rPr>
      <w:tblPr/>
      <w:tcPr>
        <w:tcBorders>
          <w:top w:val="single" w:sz="6" w:space="0" w:color="808080" w:themeColor="accent1"/>
          <w:left w:val="single" w:sz="6" w:space="0" w:color="808080" w:themeColor="accent1"/>
          <w:bottom w:val="single" w:sz="6" w:space="0" w:color="808080" w:themeColor="accent1"/>
          <w:right w:val="single" w:sz="6" w:space="0" w:color="808080" w:themeColor="accent1"/>
          <w:insideH w:val="single" w:sz="6" w:space="0" w:color="808080" w:themeColor="accent1"/>
          <w:insideV w:val="single" w:sz="6" w:space="0" w:color="808080" w:themeColor="accent1"/>
        </w:tcBorders>
        <w:shd w:val="clear" w:color="auto" w:fill="F0F0F0" w:themeFill="accent4"/>
      </w:tcPr>
    </w:tblStylePr>
    <w:tblStylePr w:type="band2Horz">
      <w:rPr>
        <w:rFonts w:ascii="Arial" w:hAnsi="Arial"/>
        <w:color w:val="auto"/>
        <w:sz w:val="20"/>
      </w:rPr>
      <w:tblPr/>
      <w:tcPr>
        <w:tcBorders>
          <w:top w:val="single" w:sz="6" w:space="0" w:color="808080" w:themeColor="accent1"/>
          <w:left w:val="single" w:sz="6" w:space="0" w:color="808080" w:themeColor="accent1"/>
          <w:bottom w:val="single" w:sz="6" w:space="0" w:color="808080" w:themeColor="accent1"/>
          <w:right w:val="single" w:sz="6" w:space="0" w:color="808080" w:themeColor="accent1"/>
          <w:insideH w:val="single" w:sz="6" w:space="0" w:color="808080" w:themeColor="accent1"/>
          <w:insideV w:val="single" w:sz="6" w:space="0" w:color="808080" w:themeColor="accent1"/>
        </w:tcBorders>
        <w:shd w:val="clear" w:color="auto" w:fill="FFFFFF" w:themeFill="text2"/>
      </w:tcPr>
    </w:tblStylePr>
  </w:style>
  <w:style w:type="paragraph" w:customStyle="1" w:styleId="TASCustomtableheading">
    <w:name w:val="TAS Custom table heading"/>
    <w:basedOn w:val="TASNormal"/>
    <w:rsid w:val="00774FEF"/>
    <w:pPr>
      <w:spacing w:before="60" w:after="60"/>
    </w:pPr>
    <w:rPr>
      <w:color w:val="FFFFFF"/>
    </w:rPr>
  </w:style>
  <w:style w:type="paragraph" w:customStyle="1" w:styleId="TASCustomtabletext">
    <w:name w:val="TAS Custom table text"/>
    <w:basedOn w:val="TASNormal"/>
    <w:rsid w:val="00774FEF"/>
  </w:style>
  <w:style w:type="paragraph" w:customStyle="1" w:styleId="TASDepartment">
    <w:name w:val="TAS Department"/>
    <w:basedOn w:val="TASBodytext"/>
    <w:next w:val="TASBodytext"/>
    <w:rsid w:val="00774FEF"/>
    <w:rPr>
      <w:rFonts w:eastAsiaTheme="minorHAnsi"/>
      <w:b/>
      <w:sz w:val="32"/>
      <w:szCs w:val="32"/>
    </w:rPr>
  </w:style>
  <w:style w:type="paragraph" w:customStyle="1" w:styleId="TASDisclaimer">
    <w:name w:val="TAS Disclaimer"/>
    <w:basedOn w:val="TASNormal"/>
    <w:rsid w:val="00774FEF"/>
    <w:pPr>
      <w:jc w:val="both"/>
    </w:pPr>
    <w:rPr>
      <w:b/>
      <w:szCs w:val="10"/>
    </w:rPr>
  </w:style>
  <w:style w:type="paragraph" w:customStyle="1" w:styleId="TASDividertitle">
    <w:name w:val="TAS Divider title"/>
    <w:basedOn w:val="TASNormal"/>
    <w:next w:val="TASBodytext"/>
    <w:rsid w:val="00774FEF"/>
    <w:pPr>
      <w:spacing w:before="3600"/>
    </w:pPr>
    <w:rPr>
      <w:color w:val="808080" w:themeColor="accent1"/>
      <w:sz w:val="40"/>
    </w:rPr>
  </w:style>
  <w:style w:type="character" w:styleId="FootnoteReference">
    <w:name w:val="footnote reference"/>
    <w:basedOn w:val="DefaultParagraphFont"/>
    <w:uiPriority w:val="99"/>
    <w:semiHidden/>
    <w:unhideWhenUsed/>
    <w:rsid w:val="00774FEF"/>
    <w:rPr>
      <w:vertAlign w:val="superscript"/>
    </w:rPr>
  </w:style>
  <w:style w:type="paragraph" w:customStyle="1" w:styleId="TASFooter">
    <w:name w:val="TAS Footer"/>
    <w:basedOn w:val="TASNormal"/>
    <w:next w:val="TASBodytext"/>
    <w:rsid w:val="00774FEF"/>
    <w:pPr>
      <w:tabs>
        <w:tab w:val="left" w:pos="851"/>
        <w:tab w:val="left" w:pos="5755"/>
      </w:tabs>
    </w:pPr>
    <w:rPr>
      <w:color w:val="808080" w:themeColor="accent1"/>
      <w:sz w:val="16"/>
    </w:rPr>
  </w:style>
  <w:style w:type="paragraph" w:customStyle="1" w:styleId="TASLetteraddress">
    <w:name w:val="TAS Letter address"/>
    <w:basedOn w:val="TASNormal"/>
    <w:rsid w:val="00774FEF"/>
    <w:rPr>
      <w:color w:val="808080" w:themeColor="accent1"/>
      <w:sz w:val="16"/>
    </w:rPr>
  </w:style>
  <w:style w:type="paragraph" w:customStyle="1" w:styleId="TASLetteraddressEY">
    <w:name w:val="TAS Letter address EY"/>
    <w:basedOn w:val="TASNormal"/>
    <w:next w:val="TASLetteraddress"/>
    <w:rsid w:val="00774FEF"/>
    <w:rPr>
      <w:b/>
      <w:color w:val="808080" w:themeColor="accent1"/>
      <w:sz w:val="16"/>
      <w:szCs w:val="16"/>
    </w:rPr>
  </w:style>
  <w:style w:type="paragraph" w:customStyle="1" w:styleId="TASLetterbodytext">
    <w:name w:val="TAS Letter body text"/>
    <w:basedOn w:val="TASNormal"/>
    <w:link w:val="TASLetterbodytextCharChar"/>
    <w:rsid w:val="00774FEF"/>
    <w:pPr>
      <w:spacing w:after="120"/>
      <w:jc w:val="both"/>
    </w:pPr>
    <w:rPr>
      <w:rFonts w:cs="Times New Roman"/>
      <w:szCs w:val="16"/>
    </w:rPr>
  </w:style>
  <w:style w:type="paragraph" w:customStyle="1" w:styleId="TASLetterbullet1">
    <w:name w:val="TAS Letter bullet 1"/>
    <w:basedOn w:val="TASLetterbodytext"/>
    <w:rsid w:val="00774FEF"/>
    <w:pPr>
      <w:numPr>
        <w:numId w:val="9"/>
      </w:numPr>
    </w:pPr>
  </w:style>
  <w:style w:type="paragraph" w:customStyle="1" w:styleId="TASLetterbullet2">
    <w:name w:val="TAS Letter bullet 2"/>
    <w:basedOn w:val="TASLetterbullet1"/>
    <w:rsid w:val="00774FEF"/>
    <w:pPr>
      <w:numPr>
        <w:ilvl w:val="1"/>
      </w:numPr>
    </w:pPr>
  </w:style>
  <w:style w:type="paragraph" w:customStyle="1" w:styleId="TASLetterdate">
    <w:name w:val="TAS Letter date"/>
    <w:basedOn w:val="TASNormal"/>
    <w:link w:val="TASLetterdateCharChar"/>
    <w:rsid w:val="00774FEF"/>
    <w:pPr>
      <w:framePr w:wrap="around" w:vAnchor="page" w:hAnchor="page" w:x="796" w:y="796"/>
    </w:pPr>
    <w:rPr>
      <w:noProof/>
      <w:szCs w:val="16"/>
    </w:rPr>
  </w:style>
  <w:style w:type="paragraph" w:customStyle="1" w:styleId="TASLetterdisclaimer">
    <w:name w:val="TAS Letter disclaimer"/>
    <w:basedOn w:val="TASTablesource"/>
    <w:rsid w:val="00774FEF"/>
    <w:pPr>
      <w:jc w:val="both"/>
    </w:pPr>
  </w:style>
  <w:style w:type="paragraph" w:customStyle="1" w:styleId="TASLetterdraft">
    <w:name w:val="TAS Letter draft"/>
    <w:basedOn w:val="TASNormal"/>
    <w:rsid w:val="00774FEF"/>
    <w:pPr>
      <w:tabs>
        <w:tab w:val="right" w:pos="10310"/>
      </w:tabs>
    </w:pPr>
    <w:rPr>
      <w:b/>
      <w:color w:val="808080" w:themeColor="accent1"/>
    </w:rPr>
  </w:style>
  <w:style w:type="paragraph" w:customStyle="1" w:styleId="TASLetterrecipientaddress">
    <w:name w:val="TAS Letter recipient address"/>
    <w:basedOn w:val="TASNormal"/>
    <w:rsid w:val="00774FEF"/>
    <w:rPr>
      <w:szCs w:val="16"/>
    </w:rPr>
  </w:style>
  <w:style w:type="paragraph" w:customStyle="1" w:styleId="TASFooterdatefieldA4port">
    <w:name w:val="TAS Footer date field A4 port"/>
    <w:basedOn w:val="TASFooterdatefield"/>
    <w:rsid w:val="00774FEF"/>
    <w:pPr>
      <w:framePr w:w="2707" w:wrap="around" w:y="15927"/>
    </w:pPr>
  </w:style>
  <w:style w:type="paragraph" w:customStyle="1" w:styleId="TASLettersalutation">
    <w:name w:val="TAS Letter salutation"/>
    <w:basedOn w:val="TASNormal"/>
    <w:next w:val="Normal"/>
    <w:rsid w:val="00774FEF"/>
    <w:pPr>
      <w:spacing w:after="240"/>
      <w:jc w:val="both"/>
    </w:pPr>
  </w:style>
  <w:style w:type="paragraph" w:customStyle="1" w:styleId="TASLettertextheading">
    <w:name w:val="TAS Letter text heading"/>
    <w:basedOn w:val="TASLetterbodytext"/>
    <w:next w:val="TASLetterbodytext"/>
    <w:rsid w:val="00774FEF"/>
    <w:pPr>
      <w:keepNext/>
    </w:pPr>
    <w:rPr>
      <w:b/>
    </w:rPr>
  </w:style>
  <w:style w:type="paragraph" w:customStyle="1" w:styleId="TASName">
    <w:name w:val="TAS Name"/>
    <w:basedOn w:val="TASNormal"/>
    <w:next w:val="TASPosition"/>
    <w:rsid w:val="00774FEF"/>
    <w:pPr>
      <w:spacing w:after="45"/>
    </w:pPr>
    <w:rPr>
      <w:b/>
      <w:bCs/>
      <w:color w:val="808080" w:themeColor="accent1"/>
      <w:sz w:val="18"/>
      <w:szCs w:val="18"/>
    </w:rPr>
  </w:style>
  <w:style w:type="paragraph" w:customStyle="1" w:styleId="TASPosition">
    <w:name w:val="TAS Position"/>
    <w:basedOn w:val="TASNormal"/>
    <w:rsid w:val="00774FEF"/>
    <w:pPr>
      <w:pBdr>
        <w:bottom w:val="single" w:sz="6" w:space="0" w:color="808080" w:themeColor="accent1"/>
      </w:pBdr>
      <w:spacing w:after="60"/>
    </w:pPr>
    <w:rPr>
      <w:color w:val="808080" w:themeColor="accent1"/>
      <w:sz w:val="18"/>
      <w:szCs w:val="18"/>
    </w:rPr>
  </w:style>
  <w:style w:type="paragraph" w:customStyle="1" w:styleId="TASPOVheading">
    <w:name w:val="TAS POV heading"/>
    <w:basedOn w:val="TASBodytext"/>
    <w:rsid w:val="00774FEF"/>
    <w:pPr>
      <w:jc w:val="left"/>
    </w:pPr>
    <w:rPr>
      <w:b/>
    </w:rPr>
  </w:style>
  <w:style w:type="paragraph" w:customStyle="1" w:styleId="TASPresConfidential">
    <w:name w:val="TAS PresConfidential"/>
    <w:basedOn w:val="TASNormal"/>
    <w:rsid w:val="00774FEF"/>
    <w:pPr>
      <w:spacing w:after="120" w:line="264" w:lineRule="auto"/>
    </w:pPr>
    <w:rPr>
      <w:sz w:val="24"/>
    </w:rPr>
  </w:style>
  <w:style w:type="paragraph" w:customStyle="1" w:styleId="TASPresDate">
    <w:name w:val="TAS PresDate"/>
    <w:basedOn w:val="TASNormal"/>
    <w:next w:val="TASCoverdraft"/>
    <w:rsid w:val="00774FEF"/>
    <w:pPr>
      <w:spacing w:after="120" w:line="264" w:lineRule="auto"/>
    </w:pPr>
    <w:rPr>
      <w:color w:val="000000"/>
      <w:sz w:val="28"/>
      <w:szCs w:val="28"/>
    </w:rPr>
  </w:style>
  <w:style w:type="paragraph" w:customStyle="1" w:styleId="TASPresTitle">
    <w:name w:val="TAS PresTitle"/>
    <w:basedOn w:val="TASNormal"/>
    <w:next w:val="TASPresDate"/>
    <w:rsid w:val="00774FEF"/>
    <w:pPr>
      <w:spacing w:before="720" w:after="120" w:line="264" w:lineRule="auto"/>
    </w:pPr>
    <w:rPr>
      <w:b/>
      <w:bCs/>
      <w:color w:val="808080" w:themeColor="accent1"/>
      <w:sz w:val="28"/>
      <w:szCs w:val="28"/>
    </w:rPr>
  </w:style>
  <w:style w:type="paragraph" w:customStyle="1" w:styleId="TASFooterdraft">
    <w:name w:val="TAS Footer draft"/>
    <w:basedOn w:val="TASFooter"/>
    <w:rsid w:val="00774FEF"/>
    <w:pPr>
      <w:framePr w:wrap="around" w:hAnchor="text"/>
    </w:pPr>
  </w:style>
  <w:style w:type="paragraph" w:customStyle="1" w:styleId="TASSectionheader">
    <w:name w:val="TAS Section header"/>
    <w:basedOn w:val="TASNormal"/>
    <w:next w:val="TASBodytext"/>
    <w:rsid w:val="00774FEF"/>
    <w:pPr>
      <w:framePr w:w="3211" w:wrap="around" w:vAnchor="page" w:hAnchor="page" w:x="793" w:y="606"/>
      <w:tabs>
        <w:tab w:val="right" w:pos="10267"/>
      </w:tabs>
      <w:spacing w:after="600"/>
    </w:pPr>
    <w:rPr>
      <w:b/>
      <w:color w:val="808080" w:themeColor="accent1"/>
      <w:sz w:val="16"/>
    </w:rPr>
  </w:style>
  <w:style w:type="paragraph" w:customStyle="1" w:styleId="TASSectiontitle">
    <w:name w:val="TAS Section title"/>
    <w:basedOn w:val="TASNormal"/>
    <w:next w:val="TASBodytext"/>
    <w:rsid w:val="00774FEF"/>
    <w:pPr>
      <w:framePr w:w="3211" w:wrap="around" w:hAnchor="page" w:x="793" w:yAlign="top"/>
      <w:pBdr>
        <w:bottom w:val="single" w:sz="6" w:space="2" w:color="808080" w:themeColor="accent1"/>
      </w:pBdr>
      <w:tabs>
        <w:tab w:val="right" w:pos="14459"/>
      </w:tabs>
      <w:spacing w:before="3600"/>
    </w:pPr>
    <w:rPr>
      <w:b/>
      <w:color w:val="808080" w:themeColor="accent1"/>
      <w:sz w:val="24"/>
      <w:szCs w:val="24"/>
    </w:rPr>
  </w:style>
  <w:style w:type="paragraph" w:customStyle="1" w:styleId="TASStrapline">
    <w:name w:val="TAS Strap line"/>
    <w:basedOn w:val="TASNormal"/>
    <w:next w:val="TASBodytext"/>
    <w:rsid w:val="00774FEF"/>
    <w:pPr>
      <w:framePr w:w="10325" w:h="734" w:hRule="exact" w:wrap="notBeside" w:vAnchor="page" w:hAnchor="page" w:x="793" w:y="1225" w:anchorLock="1"/>
    </w:pPr>
    <w:rPr>
      <w:b/>
      <w:color w:val="808080" w:themeColor="accent1"/>
      <w:sz w:val="28"/>
      <w:szCs w:val="28"/>
    </w:rPr>
  </w:style>
  <w:style w:type="paragraph" w:customStyle="1" w:styleId="TASSubsection">
    <w:name w:val="TAS Subsection"/>
    <w:basedOn w:val="TASNormal"/>
    <w:rsid w:val="00774FEF"/>
    <w:pPr>
      <w:framePr w:w="3211" w:wrap="around" w:vAnchor="page" w:hAnchor="page" w:xAlign="center" w:y="606" w:anchorLock="1"/>
      <w:tabs>
        <w:tab w:val="left" w:pos="5490"/>
      </w:tabs>
      <w:jc w:val="center"/>
    </w:pPr>
    <w:rPr>
      <w:b/>
      <w:color w:val="808080" w:themeColor="accent1"/>
      <w:sz w:val="16"/>
    </w:rPr>
  </w:style>
  <w:style w:type="paragraph" w:customStyle="1" w:styleId="TASFooterdraftA4port">
    <w:name w:val="TAS Footer draft A4 port"/>
    <w:basedOn w:val="TASFooterdraft"/>
    <w:rsid w:val="00774FEF"/>
    <w:pPr>
      <w:framePr w:w="3211" w:wrap="around" w:vAnchor="page" w:hAnchor="page" w:xAlign="center" w:y="16115" w:anchorLock="1"/>
      <w:jc w:val="center"/>
    </w:pPr>
    <w:rPr>
      <w:b/>
    </w:rPr>
  </w:style>
  <w:style w:type="paragraph" w:customStyle="1" w:styleId="TASTablenote">
    <w:name w:val="TAS Table note"/>
    <w:basedOn w:val="TASBodytext"/>
    <w:rsid w:val="00774FEF"/>
    <w:pPr>
      <w:numPr>
        <w:numId w:val="11"/>
      </w:numPr>
      <w:tabs>
        <w:tab w:val="left" w:pos="288"/>
      </w:tabs>
      <w:spacing w:before="20" w:after="20"/>
    </w:pPr>
    <w:rPr>
      <w:rFonts w:ascii="Arial Narrow" w:hAnsi="Arial Narrow"/>
      <w:color w:val="000000" w:themeColor="text1"/>
      <w:sz w:val="16"/>
    </w:rPr>
  </w:style>
  <w:style w:type="paragraph" w:customStyle="1" w:styleId="TASFooterfilename">
    <w:name w:val="TAS Footer filename"/>
    <w:basedOn w:val="TASFooter"/>
    <w:rsid w:val="00774FEF"/>
    <w:pPr>
      <w:framePr w:wrap="around" w:hAnchor="text" w:y="11190"/>
    </w:pPr>
  </w:style>
  <w:style w:type="paragraph" w:customStyle="1" w:styleId="TASFooterfilenameA4port">
    <w:name w:val="TAS Footer filename A4 port"/>
    <w:basedOn w:val="TASFooterfilename"/>
    <w:rsid w:val="00774FEF"/>
    <w:pPr>
      <w:framePr w:w="2707" w:wrap="around" w:vAnchor="page" w:hAnchor="page" w:x="1441" w:y="16115"/>
    </w:pPr>
  </w:style>
  <w:style w:type="paragraph" w:customStyle="1" w:styleId="TASTabletitle">
    <w:name w:val="TAS Table title"/>
    <w:basedOn w:val="TASNormal"/>
    <w:rsid w:val="00774FEF"/>
    <w:pPr>
      <w:keepNext/>
      <w:spacing w:after="60"/>
    </w:pPr>
    <w:rPr>
      <w:b/>
      <w:bCs/>
      <w:color w:val="808080" w:themeColor="accent1"/>
      <w:sz w:val="16"/>
      <w:szCs w:val="16"/>
    </w:rPr>
  </w:style>
  <w:style w:type="paragraph" w:customStyle="1" w:styleId="TASTextheading1">
    <w:name w:val="TAS Text heading 1"/>
    <w:basedOn w:val="TASNormal"/>
    <w:next w:val="TASBodytext"/>
    <w:link w:val="TASTextheading1Char"/>
    <w:qFormat/>
    <w:rsid w:val="00774FEF"/>
    <w:pPr>
      <w:keepNext/>
      <w:spacing w:after="120"/>
    </w:pPr>
    <w:rPr>
      <w:b/>
      <w:bCs/>
      <w:color w:val="808080" w:themeColor="accent1"/>
    </w:rPr>
  </w:style>
  <w:style w:type="paragraph" w:customStyle="1" w:styleId="TASTextheading2">
    <w:name w:val="TAS Text heading 2"/>
    <w:basedOn w:val="TASTextheading1"/>
    <w:next w:val="TASBodytext"/>
    <w:qFormat/>
    <w:rsid w:val="00774FEF"/>
    <w:rPr>
      <w:b w:val="0"/>
    </w:rPr>
  </w:style>
  <w:style w:type="paragraph" w:customStyle="1" w:styleId="TASTextheading3">
    <w:name w:val="TAS Text heading 3"/>
    <w:basedOn w:val="TASTextheading2"/>
    <w:next w:val="TASBodytext"/>
    <w:qFormat/>
    <w:rsid w:val="00774FEF"/>
    <w:rPr>
      <w:i/>
    </w:rPr>
  </w:style>
  <w:style w:type="paragraph" w:customStyle="1" w:styleId="TASFooterlogo">
    <w:name w:val="TAS Footer logo"/>
    <w:basedOn w:val="TASFooter"/>
    <w:rsid w:val="00774FEF"/>
    <w:pPr>
      <w:framePr w:w="2160" w:h="216" w:hRule="exact" w:wrap="around" w:vAnchor="page" w:hAnchor="page" w:x="13940" w:y="11003" w:anchorLock="1"/>
      <w:jc w:val="right"/>
    </w:pPr>
    <w:rPr>
      <w:rFonts w:ascii="EY Tagline" w:hAnsi="EY Tagline"/>
    </w:rPr>
  </w:style>
  <w:style w:type="paragraph" w:customStyle="1" w:styleId="TASTiny">
    <w:name w:val="TAS Tiny"/>
    <w:basedOn w:val="TASNormal"/>
    <w:rsid w:val="00774FEF"/>
    <w:rPr>
      <w:sz w:val="10"/>
    </w:rPr>
  </w:style>
  <w:style w:type="paragraph" w:customStyle="1" w:styleId="TASFooterlogoA4port">
    <w:name w:val="TAS Footer logo A4 port"/>
    <w:basedOn w:val="TASFooterlogo"/>
    <w:rsid w:val="00774FEF"/>
    <w:pPr>
      <w:framePr w:wrap="around" w:x="8972" w:y="15927"/>
    </w:pPr>
  </w:style>
  <w:style w:type="paragraph" w:styleId="TOC1">
    <w:name w:val="toc 1"/>
    <w:basedOn w:val="TASTOC1"/>
    <w:next w:val="TASBodytext"/>
    <w:uiPriority w:val="39"/>
    <w:unhideWhenUsed/>
    <w:qFormat/>
    <w:rsid w:val="00774FEF"/>
  </w:style>
  <w:style w:type="paragraph" w:styleId="TOC2">
    <w:name w:val="toc 2"/>
    <w:basedOn w:val="TASTOC2"/>
    <w:next w:val="TASBodytext"/>
    <w:uiPriority w:val="39"/>
    <w:unhideWhenUsed/>
    <w:qFormat/>
    <w:rsid w:val="00774FEF"/>
  </w:style>
  <w:style w:type="paragraph" w:styleId="TOC3">
    <w:name w:val="toc 3"/>
    <w:basedOn w:val="TASTOC3"/>
    <w:next w:val="TASBodytext"/>
    <w:uiPriority w:val="39"/>
    <w:unhideWhenUsed/>
    <w:qFormat/>
    <w:rsid w:val="00774FEF"/>
    <w:pPr>
      <w:numPr>
        <w:numId w:val="14"/>
      </w:numPr>
    </w:pPr>
  </w:style>
  <w:style w:type="paragraph" w:customStyle="1" w:styleId="TASTightbullet1">
    <w:name w:val="TAS Tight bullet 1"/>
    <w:basedOn w:val="TASNormal"/>
    <w:rsid w:val="00774FEF"/>
    <w:pPr>
      <w:numPr>
        <w:numId w:val="12"/>
      </w:numPr>
      <w:spacing w:before="60" w:after="60"/>
    </w:pPr>
  </w:style>
  <w:style w:type="paragraph" w:customStyle="1" w:styleId="TASTightbullet2">
    <w:name w:val="TAS Tight bullet 2"/>
    <w:basedOn w:val="TASNormal"/>
    <w:rsid w:val="00774FEF"/>
    <w:pPr>
      <w:numPr>
        <w:ilvl w:val="1"/>
        <w:numId w:val="12"/>
      </w:numPr>
      <w:spacing w:before="60" w:after="60"/>
    </w:pPr>
  </w:style>
  <w:style w:type="paragraph" w:customStyle="1" w:styleId="TASTOC1">
    <w:name w:val="TAS TOC 1"/>
    <w:basedOn w:val="TASNormal"/>
    <w:rsid w:val="00774FEF"/>
    <w:pPr>
      <w:tabs>
        <w:tab w:val="right" w:pos="10325"/>
      </w:tabs>
      <w:spacing w:before="360" w:after="360"/>
    </w:pPr>
    <w:rPr>
      <w:b/>
      <w:color w:val="808080" w:themeColor="accent1"/>
      <w:sz w:val="28"/>
    </w:rPr>
  </w:style>
  <w:style w:type="paragraph" w:customStyle="1" w:styleId="TASTOC2">
    <w:name w:val="TAS TOC 2"/>
    <w:basedOn w:val="TASNormal"/>
    <w:rsid w:val="00774FEF"/>
    <w:pPr>
      <w:tabs>
        <w:tab w:val="right" w:pos="10325"/>
      </w:tabs>
      <w:spacing w:after="240"/>
      <w:ind w:right="720"/>
    </w:pPr>
    <w:rPr>
      <w:b/>
      <w:color w:val="808080" w:themeColor="accent1"/>
      <w:sz w:val="24"/>
    </w:rPr>
  </w:style>
  <w:style w:type="paragraph" w:customStyle="1" w:styleId="TASTOC3">
    <w:name w:val="TAS TOC 3"/>
    <w:basedOn w:val="TASNormal"/>
    <w:rsid w:val="00774FEF"/>
    <w:pPr>
      <w:numPr>
        <w:numId w:val="13"/>
      </w:numPr>
      <w:tabs>
        <w:tab w:val="right" w:pos="10325"/>
      </w:tabs>
      <w:spacing w:after="120"/>
      <w:ind w:right="720"/>
    </w:pPr>
  </w:style>
  <w:style w:type="paragraph" w:customStyle="1" w:styleId="TASFooterpagenum">
    <w:name w:val="TAS Footer page num"/>
    <w:basedOn w:val="TASNormal"/>
    <w:rsid w:val="00774FEF"/>
    <w:pPr>
      <w:framePr w:w="504" w:h="187" w:hRule="exact" w:wrap="around" w:vAnchor="page" w:hAnchor="page" w:x="793" w:y="11003" w:anchorLock="1"/>
    </w:pPr>
    <w:rPr>
      <w:color w:val="808080" w:themeColor="accent1"/>
      <w:sz w:val="16"/>
      <w:szCs w:val="16"/>
    </w:rPr>
  </w:style>
  <w:style w:type="paragraph" w:customStyle="1" w:styleId="TASFooterpagenumA4port">
    <w:name w:val="TAS Footer page num A4 port"/>
    <w:basedOn w:val="TASFooterpagenum"/>
    <w:rsid w:val="00774FEF"/>
    <w:pPr>
      <w:framePr w:wrap="around" w:y="15927"/>
    </w:pPr>
  </w:style>
  <w:style w:type="table" w:customStyle="1" w:styleId="TASImportedtablestyle">
    <w:name w:val="TAS Imported table style"/>
    <w:basedOn w:val="TableNormal"/>
    <w:uiPriority w:val="99"/>
    <w:qFormat/>
    <w:rsid w:val="00774FEF"/>
    <w:pPr>
      <w:spacing w:before="20" w:after="20" w:line="240" w:lineRule="auto"/>
      <w:jc w:val="right"/>
    </w:pPr>
    <w:rPr>
      <w:rFonts w:ascii="Arial Narrow" w:hAnsi="Arial Narrow"/>
      <w:sz w:val="16"/>
    </w:rPr>
    <w:tblPr>
      <w:tblStyleRowBandSize w:val="1"/>
      <w:tblStyleColBandSize w:val="1"/>
      <w:tblBorders>
        <w:top w:val="single" w:sz="6" w:space="0" w:color="808080" w:themeColor="accent1"/>
        <w:bottom w:val="single" w:sz="6" w:space="0" w:color="808080" w:themeColor="accent1"/>
      </w:tblBorders>
      <w:tblCellMar>
        <w:left w:w="0" w:type="dxa"/>
        <w:right w:w="58" w:type="dxa"/>
      </w:tblCellMar>
    </w:tblPr>
    <w:trPr>
      <w:cantSplit/>
    </w:trPr>
    <w:tcPr>
      <w:shd w:val="clear" w:color="auto" w:fill="F0F0F0" w:themeFill="accent4"/>
      <w:vAlign w:val="bottom"/>
    </w:tcPr>
    <w:tblStylePr w:type="firstRow">
      <w:rPr>
        <w:rFonts w:ascii="Arial Narrow" w:hAnsi="Arial Narrow"/>
        <w:color w:val="auto"/>
        <w:sz w:val="16"/>
      </w:rPr>
      <w:tblPr/>
      <w:trPr>
        <w:cantSplit w:val="0"/>
        <w:tblHeader/>
      </w:trPr>
      <w:tcPr>
        <w:tcBorders>
          <w:bottom w:val="single" w:sz="6" w:space="0" w:color="808080" w:themeColor="accent1"/>
        </w:tcBorders>
      </w:tcPr>
    </w:tblStylePr>
    <w:tblStylePr w:type="lastRow">
      <w:rPr>
        <w:rFonts w:ascii="Arial Narrow" w:hAnsi="Arial Narrow"/>
        <w:sz w:val="16"/>
      </w:rPr>
    </w:tblStylePr>
    <w:tblStylePr w:type="firstCol">
      <w:pPr>
        <w:wordWrap/>
        <w:jc w:val="left"/>
      </w:pPr>
      <w:rPr>
        <w:rFonts w:ascii="Arial Narrow" w:hAnsi="Arial Narrow"/>
        <w:sz w:val="16"/>
      </w:rPr>
    </w:tblStylePr>
    <w:tblStylePr w:type="lastCol">
      <w:rPr>
        <w:rFonts w:ascii="Arial Narrow" w:hAnsi="Arial Narrow"/>
        <w:sz w:val="16"/>
      </w:rPr>
    </w:tblStylePr>
    <w:tblStylePr w:type="band1Vert">
      <w:rPr>
        <w:rFonts w:ascii="Arial Narrow" w:hAnsi="Arial Narrow"/>
        <w:sz w:val="16"/>
      </w:rPr>
    </w:tblStylePr>
    <w:tblStylePr w:type="band2Vert">
      <w:rPr>
        <w:rFonts w:ascii="Arial Narrow" w:hAnsi="Arial Narrow"/>
        <w:sz w:val="16"/>
      </w:rPr>
    </w:tblStylePr>
    <w:tblStylePr w:type="band1Horz">
      <w:rPr>
        <w:rFonts w:ascii="Arial Narrow" w:hAnsi="Arial Narrow"/>
        <w:sz w:val="16"/>
      </w:rPr>
    </w:tblStylePr>
    <w:tblStylePr w:type="band2Horz">
      <w:rPr>
        <w:rFonts w:ascii="Arial Narrow" w:hAnsi="Arial Narrow"/>
        <w:sz w:val="16"/>
      </w:rPr>
    </w:tblStylePr>
    <w:tblStylePr w:type="neCell">
      <w:rPr>
        <w:rFonts w:ascii="Arial Narrow" w:hAnsi="Arial Narrow"/>
        <w:sz w:val="16"/>
      </w:rPr>
    </w:tblStylePr>
    <w:tblStylePr w:type="nwCell">
      <w:rPr>
        <w:rFonts w:ascii="Arial Narrow" w:hAnsi="Arial Narrow"/>
        <w:sz w:val="16"/>
      </w:rPr>
    </w:tblStylePr>
    <w:tblStylePr w:type="seCell">
      <w:rPr>
        <w:rFonts w:ascii="Arial Narrow" w:hAnsi="Arial Narrow"/>
        <w:sz w:val="16"/>
      </w:rPr>
    </w:tblStylePr>
    <w:tblStylePr w:type="swCell">
      <w:rPr>
        <w:rFonts w:ascii="Arial Narrow" w:hAnsi="Arial Narrow"/>
        <w:sz w:val="16"/>
      </w:rPr>
    </w:tblStylePr>
  </w:style>
  <w:style w:type="numbering" w:customStyle="1" w:styleId="TASLetterbulletlist">
    <w:name w:val="TAS Letter bullet list"/>
    <w:uiPriority w:val="99"/>
    <w:rsid w:val="00774FEF"/>
    <w:pPr>
      <w:numPr>
        <w:numId w:val="2"/>
      </w:numPr>
    </w:pPr>
  </w:style>
  <w:style w:type="paragraph" w:customStyle="1" w:styleId="TASTablesource">
    <w:name w:val="TAS Table source"/>
    <w:basedOn w:val="TASNormal"/>
    <w:rsid w:val="00774FEF"/>
    <w:pPr>
      <w:spacing w:before="20" w:after="20"/>
    </w:pPr>
    <w:rPr>
      <w:rFonts w:ascii="Arial Narrow" w:hAnsi="Arial Narrow"/>
      <w:bCs/>
      <w:color w:val="808080" w:themeColor="accent1"/>
      <w:sz w:val="12"/>
      <w:szCs w:val="10"/>
    </w:rPr>
  </w:style>
  <w:style w:type="numbering" w:customStyle="1" w:styleId="TASList">
    <w:name w:val="TAS List"/>
    <w:uiPriority w:val="99"/>
    <w:rsid w:val="00774FEF"/>
    <w:pPr>
      <w:numPr>
        <w:numId w:val="3"/>
      </w:numPr>
    </w:pPr>
  </w:style>
  <w:style w:type="paragraph" w:customStyle="1" w:styleId="TASPOVtext">
    <w:name w:val="TAS POV text"/>
    <w:basedOn w:val="TASBodytext"/>
    <w:rsid w:val="00774FEF"/>
    <w:pPr>
      <w:spacing w:after="60"/>
      <w:jc w:val="left"/>
    </w:pPr>
  </w:style>
  <w:style w:type="paragraph" w:customStyle="1" w:styleId="TASReport">
    <w:name w:val="TAS Report"/>
    <w:basedOn w:val="TASNormal"/>
    <w:rsid w:val="00774FEF"/>
    <w:pPr>
      <w:spacing w:after="120"/>
    </w:pPr>
    <w:rPr>
      <w:b/>
      <w:sz w:val="24"/>
    </w:rPr>
  </w:style>
  <w:style w:type="paragraph" w:customStyle="1" w:styleId="TASStraplinefirst">
    <w:name w:val="TAS Strap line first"/>
    <w:basedOn w:val="TASStrapline"/>
    <w:next w:val="TASBodytext"/>
    <w:rsid w:val="00774FEF"/>
    <w:pPr>
      <w:framePr w:wrap="notBeside"/>
    </w:pPr>
  </w:style>
  <w:style w:type="character" w:styleId="Hyperlink">
    <w:name w:val="Hyperlink"/>
    <w:basedOn w:val="DefaultParagraphFont"/>
    <w:uiPriority w:val="99"/>
    <w:unhideWhenUsed/>
    <w:rsid w:val="00774FEF"/>
    <w:rPr>
      <w:color w:val="336699" w:themeColor="hyperlink"/>
      <w:u w:val="single"/>
    </w:rPr>
  </w:style>
  <w:style w:type="character" w:styleId="PlaceholderText">
    <w:name w:val="Placeholder Text"/>
    <w:basedOn w:val="DefaultParagraphFont"/>
    <w:uiPriority w:val="99"/>
    <w:semiHidden/>
    <w:rsid w:val="00774FEF"/>
    <w:rPr>
      <w:color w:val="808080"/>
    </w:rPr>
  </w:style>
  <w:style w:type="paragraph" w:customStyle="1" w:styleId="TASTablebullet1">
    <w:name w:val="TAS Table bullet 1"/>
    <w:basedOn w:val="TASNormal"/>
    <w:rsid w:val="00774FEF"/>
    <w:pPr>
      <w:numPr>
        <w:numId w:val="10"/>
      </w:numPr>
      <w:tabs>
        <w:tab w:val="left" w:pos="374"/>
      </w:tabs>
      <w:spacing w:before="20" w:after="20"/>
    </w:pPr>
    <w:rPr>
      <w:rFonts w:ascii="Arial Narrow" w:hAnsi="Arial Narrow"/>
      <w:sz w:val="16"/>
    </w:rPr>
  </w:style>
  <w:style w:type="paragraph" w:customStyle="1" w:styleId="TASTablebullet2">
    <w:name w:val="TAS Table bullet 2"/>
    <w:basedOn w:val="TASNormal"/>
    <w:rsid w:val="00774FEF"/>
    <w:pPr>
      <w:numPr>
        <w:ilvl w:val="1"/>
        <w:numId w:val="10"/>
      </w:numPr>
      <w:tabs>
        <w:tab w:val="left" w:pos="374"/>
      </w:tabs>
      <w:spacing w:before="20" w:after="20"/>
    </w:pPr>
    <w:rPr>
      <w:rFonts w:ascii="Arial Narrow" w:hAnsi="Arial Narrow"/>
      <w:sz w:val="16"/>
    </w:rPr>
  </w:style>
  <w:style w:type="numbering" w:customStyle="1" w:styleId="TASTablebulletliststyle">
    <w:name w:val="TAS Table bullet list style"/>
    <w:uiPriority w:val="99"/>
    <w:rsid w:val="00774FEF"/>
    <w:pPr>
      <w:numPr>
        <w:numId w:val="4"/>
      </w:numPr>
    </w:pPr>
  </w:style>
  <w:style w:type="paragraph" w:customStyle="1" w:styleId="TASTableheading">
    <w:name w:val="TAS Table heading"/>
    <w:basedOn w:val="TASNormal"/>
    <w:rsid w:val="00774FEF"/>
    <w:pPr>
      <w:spacing w:before="20" w:after="20"/>
    </w:pPr>
    <w:rPr>
      <w:rFonts w:ascii="Arial Narrow" w:hAnsi="Arial Narrow"/>
      <w:b/>
      <w:color w:val="808080" w:themeColor="accent1"/>
      <w:sz w:val="16"/>
    </w:rPr>
  </w:style>
  <w:style w:type="numbering" w:customStyle="1" w:styleId="TASTablenotelist">
    <w:name w:val="TAS Table note list"/>
    <w:uiPriority w:val="99"/>
    <w:rsid w:val="00774FEF"/>
    <w:pPr>
      <w:numPr>
        <w:numId w:val="5"/>
      </w:numPr>
    </w:pPr>
  </w:style>
  <w:style w:type="paragraph" w:customStyle="1" w:styleId="TASTablenotesheading">
    <w:name w:val="TAS Table notes heading"/>
    <w:basedOn w:val="TASNormal"/>
    <w:next w:val="TASTablenote"/>
    <w:rsid w:val="00774FEF"/>
    <w:pPr>
      <w:keepNext/>
      <w:spacing w:before="20" w:after="20"/>
    </w:pPr>
    <w:rPr>
      <w:rFonts w:ascii="Arial Narrow" w:hAnsi="Arial Narrow"/>
      <w:bCs/>
      <w:color w:val="000000" w:themeColor="text1"/>
      <w:sz w:val="16"/>
      <w:szCs w:val="10"/>
    </w:rPr>
  </w:style>
  <w:style w:type="paragraph" w:customStyle="1" w:styleId="TASTabletext">
    <w:name w:val="TAS Table text"/>
    <w:basedOn w:val="TASNormal"/>
    <w:rsid w:val="00774FEF"/>
    <w:pPr>
      <w:spacing w:before="20" w:after="20"/>
    </w:pPr>
    <w:rPr>
      <w:rFonts w:ascii="Arial Narrow" w:hAnsi="Arial Narrow"/>
      <w:sz w:val="16"/>
    </w:rPr>
  </w:style>
  <w:style w:type="paragraph" w:customStyle="1" w:styleId="TASTablenumber">
    <w:name w:val="TAS Table number"/>
    <w:basedOn w:val="TASTabletext"/>
    <w:rsid w:val="00774FEF"/>
    <w:pPr>
      <w:jc w:val="right"/>
    </w:pPr>
  </w:style>
  <w:style w:type="paragraph" w:customStyle="1" w:styleId="TASTabletextbold">
    <w:name w:val="TAS Table text bold"/>
    <w:basedOn w:val="TASTabletext"/>
    <w:rsid w:val="00774FEF"/>
    <w:rPr>
      <w:b/>
    </w:rPr>
  </w:style>
  <w:style w:type="paragraph" w:customStyle="1" w:styleId="TASTabletitleborder">
    <w:name w:val="TAS Table title border"/>
    <w:basedOn w:val="TASTabletitle"/>
    <w:next w:val="TASTablesource"/>
    <w:rsid w:val="00774FEF"/>
    <w:pPr>
      <w:pBdr>
        <w:bottom w:val="single" w:sz="6" w:space="3" w:color="808080" w:themeColor="accent1"/>
      </w:pBdr>
      <w:spacing w:after="40"/>
    </w:pPr>
  </w:style>
  <w:style w:type="paragraph" w:customStyle="1" w:styleId="TASTextHeader">
    <w:name w:val="TAS Text Header"/>
    <w:basedOn w:val="Normal"/>
    <w:rsid w:val="00B32F2C"/>
    <w:pPr>
      <w:tabs>
        <w:tab w:val="right" w:pos="15168"/>
      </w:tabs>
      <w:spacing w:after="600"/>
      <w:jc w:val="right"/>
    </w:pPr>
    <w:rPr>
      <w:rFonts w:cs="Arial"/>
      <w:b/>
      <w:color w:val="808080" w:themeColor="accent1"/>
      <w:szCs w:val="16"/>
    </w:rPr>
  </w:style>
  <w:style w:type="numbering" w:customStyle="1" w:styleId="TASTightbulletliststyle">
    <w:name w:val="TAS Tight bullet list style"/>
    <w:uiPriority w:val="99"/>
    <w:rsid w:val="00774FEF"/>
    <w:pPr>
      <w:numPr>
        <w:numId w:val="6"/>
      </w:numPr>
    </w:pPr>
  </w:style>
  <w:style w:type="paragraph" w:customStyle="1" w:styleId="TASTighttext">
    <w:name w:val="TAS Tight text"/>
    <w:basedOn w:val="TASNormal"/>
    <w:rsid w:val="00774FEF"/>
    <w:pPr>
      <w:spacing w:before="60" w:after="60"/>
    </w:pPr>
  </w:style>
  <w:style w:type="paragraph" w:styleId="Header">
    <w:name w:val="header"/>
    <w:basedOn w:val="Normal"/>
    <w:link w:val="HeaderChar"/>
    <w:uiPriority w:val="99"/>
    <w:unhideWhenUsed/>
    <w:rsid w:val="00774FEF"/>
    <w:pPr>
      <w:tabs>
        <w:tab w:val="center" w:pos="4680"/>
        <w:tab w:val="right" w:pos="9360"/>
      </w:tabs>
      <w:spacing w:line="240" w:lineRule="auto"/>
    </w:pPr>
  </w:style>
  <w:style w:type="character" w:customStyle="1" w:styleId="HeaderChar">
    <w:name w:val="Header Char"/>
    <w:basedOn w:val="DefaultParagraphFont"/>
    <w:link w:val="Header"/>
    <w:uiPriority w:val="99"/>
    <w:rsid w:val="003169DB"/>
    <w:rPr>
      <w:rFonts w:ascii="EYInterstate Light" w:hAnsi="EYInterstate Light"/>
    </w:rPr>
  </w:style>
  <w:style w:type="paragraph" w:styleId="Footer">
    <w:name w:val="footer"/>
    <w:basedOn w:val="Normal"/>
    <w:link w:val="FooterChar"/>
    <w:uiPriority w:val="99"/>
    <w:unhideWhenUsed/>
    <w:rsid w:val="00774FEF"/>
    <w:pPr>
      <w:tabs>
        <w:tab w:val="center" w:pos="4680"/>
        <w:tab w:val="right" w:pos="9360"/>
      </w:tabs>
      <w:spacing w:line="240" w:lineRule="auto"/>
    </w:pPr>
  </w:style>
  <w:style w:type="character" w:customStyle="1" w:styleId="FooterChar">
    <w:name w:val="Footer Char"/>
    <w:basedOn w:val="DefaultParagraphFont"/>
    <w:link w:val="Footer"/>
    <w:uiPriority w:val="99"/>
    <w:rsid w:val="003169DB"/>
    <w:rPr>
      <w:rFonts w:ascii="EYInterstate Light" w:hAnsi="EYInterstate Light"/>
    </w:rPr>
  </w:style>
  <w:style w:type="paragraph" w:customStyle="1" w:styleId="TASFootnote">
    <w:name w:val="TAS Footnote"/>
    <w:basedOn w:val="TASNormal"/>
    <w:rsid w:val="00774FEF"/>
    <w:rPr>
      <w:sz w:val="16"/>
    </w:rPr>
  </w:style>
  <w:style w:type="character" w:customStyle="1" w:styleId="TASNormalchar">
    <w:name w:val="TAS Normal char"/>
    <w:uiPriority w:val="1"/>
    <w:rsid w:val="00774FEF"/>
    <w:rPr>
      <w:rFonts w:ascii="Arial" w:hAnsi="Arial"/>
      <w:color w:val="auto"/>
      <w:sz w:val="20"/>
      <w:lang w:val="hu-HU"/>
    </w:rPr>
  </w:style>
  <w:style w:type="character" w:customStyle="1" w:styleId="TASGuidancetext">
    <w:name w:val="TAS Guidance text"/>
    <w:basedOn w:val="TASNormalchar"/>
    <w:uiPriority w:val="1"/>
    <w:rsid w:val="00774FEF"/>
    <w:rPr>
      <w:rFonts w:ascii="Arial" w:hAnsi="Arial"/>
      <w:color w:val="00A3AE" w:themeColor="accent5"/>
      <w:sz w:val="20"/>
      <w:lang w:val="hu-HU"/>
    </w:rPr>
  </w:style>
  <w:style w:type="character" w:customStyle="1" w:styleId="TASHiddentext">
    <w:name w:val="TAS Hidden text"/>
    <w:basedOn w:val="TASNormalchar"/>
    <w:uiPriority w:val="1"/>
    <w:rsid w:val="00774FEF"/>
    <w:rPr>
      <w:rFonts w:ascii="Arial" w:hAnsi="Arial"/>
      <w:vanish/>
      <w:color w:val="FF00FF"/>
      <w:sz w:val="20"/>
      <w:lang w:val="hu-HU"/>
    </w:rPr>
  </w:style>
  <w:style w:type="paragraph" w:customStyle="1" w:styleId="TASSignpost">
    <w:name w:val="TAS Signpost"/>
    <w:basedOn w:val="TASSubsection"/>
    <w:next w:val="TASBodytext"/>
    <w:rsid w:val="00774FEF"/>
    <w:pPr>
      <w:framePr w:wrap="around" w:x="7907"/>
      <w:jc w:val="right"/>
    </w:pPr>
  </w:style>
  <w:style w:type="paragraph" w:customStyle="1" w:styleId="TASSignpostheader">
    <w:name w:val="TAS Signpost header"/>
    <w:basedOn w:val="TASSignpost"/>
    <w:rsid w:val="00774FEF"/>
    <w:pPr>
      <w:framePr w:wrap="around"/>
    </w:pPr>
  </w:style>
  <w:style w:type="paragraph" w:customStyle="1" w:styleId="TASSubsectionheader">
    <w:name w:val="TAS Subsection header"/>
    <w:basedOn w:val="TASSubsection"/>
    <w:rsid w:val="00774FEF"/>
    <w:pPr>
      <w:framePr w:wrap="around"/>
    </w:pPr>
  </w:style>
  <w:style w:type="paragraph" w:customStyle="1" w:styleId="TASTightheading">
    <w:name w:val="TAS Tight heading"/>
    <w:basedOn w:val="TASTighttext"/>
    <w:next w:val="TASTighttext"/>
    <w:rsid w:val="00774FEF"/>
    <w:rPr>
      <w:b/>
      <w:color w:val="808080" w:themeColor="accent1"/>
    </w:rPr>
  </w:style>
  <w:style w:type="paragraph" w:styleId="FootnoteText">
    <w:name w:val="footnote text"/>
    <w:basedOn w:val="TASFootnote"/>
    <w:link w:val="FootnoteTextChar"/>
    <w:uiPriority w:val="99"/>
    <w:unhideWhenUsed/>
    <w:qFormat/>
    <w:rsid w:val="00774FEF"/>
  </w:style>
  <w:style w:type="character" w:customStyle="1" w:styleId="FootnoteTextChar">
    <w:name w:val="Footnote Text Char"/>
    <w:basedOn w:val="DefaultParagraphFont"/>
    <w:link w:val="FootnoteText"/>
    <w:uiPriority w:val="99"/>
    <w:rsid w:val="007F325B"/>
    <w:rPr>
      <w:rFonts w:ascii="Arial" w:eastAsia="MS Mincho" w:hAnsi="Arial" w:cs="Arial"/>
      <w:sz w:val="16"/>
      <w:szCs w:val="20"/>
      <w:lang w:val="hu-HU" w:eastAsia="hu-HU"/>
    </w:rPr>
  </w:style>
  <w:style w:type="numbering" w:customStyle="1" w:styleId="TASBulletnumberlist1">
    <w:name w:val="TAS Bullet number list1"/>
    <w:uiPriority w:val="99"/>
    <w:rsid w:val="00774072"/>
  </w:style>
  <w:style w:type="character" w:customStyle="1" w:styleId="TASLetterdateCharChar">
    <w:name w:val="TAS Letter date Char Char"/>
    <w:basedOn w:val="DefaultParagraphFont"/>
    <w:link w:val="TASLetterdate"/>
    <w:rsid w:val="00121969"/>
    <w:rPr>
      <w:rFonts w:ascii="Arial" w:eastAsia="MS Mincho" w:hAnsi="Arial" w:cs="Arial"/>
      <w:noProof/>
      <w:sz w:val="20"/>
      <w:szCs w:val="16"/>
      <w:lang w:val="hu-HU" w:eastAsia="hu-HU"/>
    </w:rPr>
  </w:style>
  <w:style w:type="character" w:customStyle="1" w:styleId="TASLetterbodytextCharChar">
    <w:name w:val="TAS Letter body text Char Char"/>
    <w:basedOn w:val="DefaultParagraphFont"/>
    <w:link w:val="TASLetterbodytext"/>
    <w:rsid w:val="00227B90"/>
    <w:rPr>
      <w:rFonts w:ascii="Arial" w:eastAsia="MS Mincho" w:hAnsi="Arial" w:cs="Times New Roman"/>
      <w:sz w:val="20"/>
      <w:szCs w:val="16"/>
      <w:lang w:val="hu-HU" w:eastAsia="hu-HU"/>
    </w:rPr>
  </w:style>
  <w:style w:type="character" w:customStyle="1" w:styleId="Heading5Char">
    <w:name w:val="Heading 5 Char"/>
    <w:basedOn w:val="DefaultParagraphFont"/>
    <w:link w:val="Heading5"/>
    <w:uiPriority w:val="1"/>
    <w:rsid w:val="00387FA4"/>
    <w:rPr>
      <w:rFonts w:asciiTheme="majorHAnsi" w:eastAsiaTheme="majorEastAsia" w:hAnsiTheme="majorHAnsi" w:cstheme="majorBidi"/>
      <w:color w:val="3F3F3F" w:themeColor="accent1" w:themeShade="7F"/>
      <w:sz w:val="20"/>
    </w:rPr>
  </w:style>
  <w:style w:type="character" w:customStyle="1" w:styleId="Heading8Char">
    <w:name w:val="Heading 8 Char"/>
    <w:basedOn w:val="DefaultParagraphFont"/>
    <w:link w:val="Heading8"/>
    <w:uiPriority w:val="9"/>
    <w:semiHidden/>
    <w:rsid w:val="00387FA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87FA4"/>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4"/>
    <w:qFormat/>
    <w:rsid w:val="00D60CF8"/>
    <w:pPr>
      <w:ind w:left="720"/>
      <w:contextualSpacing/>
    </w:pPr>
  </w:style>
  <w:style w:type="character" w:styleId="CommentReference">
    <w:name w:val="annotation reference"/>
    <w:basedOn w:val="DefaultParagraphFont"/>
    <w:uiPriority w:val="99"/>
    <w:semiHidden/>
    <w:unhideWhenUsed/>
    <w:rsid w:val="00A268B6"/>
    <w:rPr>
      <w:sz w:val="16"/>
      <w:szCs w:val="16"/>
    </w:rPr>
  </w:style>
  <w:style w:type="paragraph" w:styleId="CommentText">
    <w:name w:val="annotation text"/>
    <w:basedOn w:val="Normal"/>
    <w:link w:val="CommentTextChar"/>
    <w:uiPriority w:val="99"/>
    <w:semiHidden/>
    <w:unhideWhenUsed/>
    <w:rsid w:val="00A268B6"/>
    <w:pPr>
      <w:spacing w:line="240" w:lineRule="auto"/>
    </w:pPr>
    <w:rPr>
      <w:sz w:val="20"/>
      <w:szCs w:val="20"/>
    </w:rPr>
  </w:style>
  <w:style w:type="character" w:customStyle="1" w:styleId="CommentTextChar">
    <w:name w:val="Comment Text Char"/>
    <w:basedOn w:val="DefaultParagraphFont"/>
    <w:link w:val="CommentText"/>
    <w:uiPriority w:val="99"/>
    <w:semiHidden/>
    <w:rsid w:val="00A268B6"/>
    <w:rPr>
      <w:rFonts w:ascii="EYInterstate Light" w:hAnsi="EYInterstate Light"/>
      <w:sz w:val="20"/>
      <w:szCs w:val="20"/>
    </w:rPr>
  </w:style>
  <w:style w:type="paragraph" w:styleId="CommentSubject">
    <w:name w:val="annotation subject"/>
    <w:basedOn w:val="CommentText"/>
    <w:next w:val="CommentText"/>
    <w:link w:val="CommentSubjectChar"/>
    <w:uiPriority w:val="99"/>
    <w:semiHidden/>
    <w:unhideWhenUsed/>
    <w:rsid w:val="00A268B6"/>
    <w:rPr>
      <w:b/>
      <w:bCs/>
    </w:rPr>
  </w:style>
  <w:style w:type="character" w:customStyle="1" w:styleId="CommentSubjectChar">
    <w:name w:val="Comment Subject Char"/>
    <w:basedOn w:val="CommentTextChar"/>
    <w:link w:val="CommentSubject"/>
    <w:uiPriority w:val="99"/>
    <w:semiHidden/>
    <w:rsid w:val="00A268B6"/>
    <w:rPr>
      <w:rFonts w:ascii="EYInterstate Light" w:hAnsi="EYInterstate Light"/>
      <w:b/>
      <w:bCs/>
      <w:sz w:val="20"/>
      <w:szCs w:val="20"/>
    </w:rPr>
  </w:style>
  <w:style w:type="paragraph" w:customStyle="1" w:styleId="TASFooterpagenumA4">
    <w:name w:val="TAS Footer page num A4"/>
    <w:basedOn w:val="Normal"/>
    <w:rsid w:val="009754FD"/>
    <w:pPr>
      <w:framePr w:w="504" w:h="187" w:hRule="exact" w:wrap="around" w:vAnchor="page" w:hAnchor="page" w:x="793" w:y="11003" w:anchorLock="1"/>
      <w:spacing w:line="240" w:lineRule="auto"/>
    </w:pPr>
    <w:rPr>
      <w:rFonts w:ascii="Arial" w:eastAsia="MS Mincho" w:hAnsi="Arial" w:cs="Arial"/>
      <w:color w:val="7F7E82"/>
      <w:sz w:val="16"/>
      <w:szCs w:val="16"/>
    </w:rPr>
  </w:style>
  <w:style w:type="paragraph" w:customStyle="1" w:styleId="TASSumFindingscolheading">
    <w:name w:val="TAS SumFindings col heading"/>
    <w:basedOn w:val="TASNormal"/>
    <w:rsid w:val="00F55543"/>
    <w:pPr>
      <w:spacing w:before="60" w:after="60"/>
    </w:pPr>
    <w:rPr>
      <w:b/>
      <w:color w:val="808080" w:themeColor="accent1"/>
    </w:rPr>
  </w:style>
  <w:style w:type="paragraph" w:customStyle="1" w:styleId="TASSumFindingspageref">
    <w:name w:val="TAS SumFindings page ref"/>
    <w:basedOn w:val="TASSumFindingscolheading"/>
    <w:rsid w:val="00F55543"/>
    <w:pPr>
      <w:ind w:right="14"/>
      <w:jc w:val="right"/>
    </w:pPr>
  </w:style>
  <w:style w:type="character" w:customStyle="1" w:styleId="Heading6Char">
    <w:name w:val="Heading 6 Char"/>
    <w:basedOn w:val="DefaultParagraphFont"/>
    <w:link w:val="Heading6"/>
    <w:uiPriority w:val="1"/>
    <w:rsid w:val="00DB2039"/>
    <w:rPr>
      <w:rFonts w:asciiTheme="majorHAnsi" w:eastAsiaTheme="majorEastAsia" w:hAnsiTheme="majorHAnsi" w:cstheme="majorBidi"/>
      <w:i/>
      <w:iCs/>
      <w:color w:val="3F3F3F" w:themeColor="accent1" w:themeShade="7F"/>
      <w:sz w:val="20"/>
    </w:rPr>
  </w:style>
  <w:style w:type="paragraph" w:styleId="NoSpacing">
    <w:name w:val="No Spacing"/>
    <w:uiPriority w:val="1"/>
    <w:rsid w:val="00DB2039"/>
    <w:pPr>
      <w:spacing w:after="0" w:line="240" w:lineRule="auto"/>
    </w:pPr>
  </w:style>
  <w:style w:type="paragraph" w:customStyle="1" w:styleId="TASFooterconfidentialUSland">
    <w:name w:val="TAS Footer confidential US land"/>
    <w:basedOn w:val="TASFooterconfidential"/>
    <w:rsid w:val="00DB2039"/>
    <w:pPr>
      <w:framePr w:w="4522" w:wrap="around" w:y="11334"/>
    </w:pPr>
  </w:style>
  <w:style w:type="paragraph" w:customStyle="1" w:styleId="TASFooterdatefieldUSland">
    <w:name w:val="TAS Footer date field US land"/>
    <w:basedOn w:val="TASFooterdatefield"/>
    <w:rsid w:val="00DB2039"/>
    <w:pPr>
      <w:framePr w:wrap="around" w:y="11334"/>
    </w:pPr>
  </w:style>
  <w:style w:type="paragraph" w:customStyle="1" w:styleId="TASFooterdraftUSland">
    <w:name w:val="TAS Footer draft US land"/>
    <w:basedOn w:val="TASFooterdraft"/>
    <w:rsid w:val="00DB2039"/>
    <w:pPr>
      <w:framePr w:w="4522" w:wrap="around" w:vAnchor="page" w:hAnchor="page" w:xAlign="center" w:y="11521" w:anchorLock="1"/>
      <w:jc w:val="center"/>
    </w:pPr>
    <w:rPr>
      <w:b/>
    </w:rPr>
  </w:style>
  <w:style w:type="paragraph" w:customStyle="1" w:styleId="TASFooterfilenameUSland">
    <w:name w:val="TAS Footer filename US land"/>
    <w:basedOn w:val="TASFooterfilename"/>
    <w:rsid w:val="00DB2039"/>
    <w:pPr>
      <w:framePr w:w="4018" w:hSpace="187" w:wrap="around" w:vAnchor="page" w:hAnchor="page" w:x="1441" w:y="11521" w:anchorLock="1"/>
    </w:pPr>
    <w:rPr>
      <w:szCs w:val="16"/>
    </w:rPr>
  </w:style>
  <w:style w:type="paragraph" w:customStyle="1" w:styleId="TASFooterlogoUSland">
    <w:name w:val="TAS Footer logo US land"/>
    <w:basedOn w:val="TASFooterlogo"/>
    <w:rsid w:val="00DB2039"/>
    <w:pPr>
      <w:framePr w:wrap="around" w:x="12903" w:y="11334"/>
    </w:pPr>
  </w:style>
  <w:style w:type="paragraph" w:customStyle="1" w:styleId="TASFooterpagenumUSland">
    <w:name w:val="TAS Footer page num US land"/>
    <w:basedOn w:val="TASFooterpagenum"/>
    <w:rsid w:val="00DB2039"/>
    <w:pPr>
      <w:framePr w:wrap="around" w:y="11334"/>
    </w:pPr>
  </w:style>
  <w:style w:type="paragraph" w:customStyle="1" w:styleId="wText">
    <w:name w:val="wText"/>
    <w:basedOn w:val="Normal"/>
    <w:link w:val="wTextChar"/>
    <w:uiPriority w:val="1"/>
    <w:qFormat/>
    <w:rsid w:val="00227943"/>
    <w:pPr>
      <w:spacing w:after="180" w:line="240" w:lineRule="auto"/>
      <w:jc w:val="both"/>
    </w:pPr>
    <w:rPr>
      <w:rFonts w:ascii="Times New Roman" w:eastAsia="MS Mincho" w:hAnsi="Times New Roman" w:cs="Times New Roman"/>
    </w:rPr>
  </w:style>
  <w:style w:type="character" w:customStyle="1" w:styleId="wTextChar">
    <w:name w:val="wText Char"/>
    <w:basedOn w:val="DefaultParagraphFont"/>
    <w:link w:val="wText"/>
    <w:uiPriority w:val="1"/>
    <w:rsid w:val="00227943"/>
    <w:rPr>
      <w:rFonts w:ascii="Times New Roman" w:eastAsia="MS Mincho" w:hAnsi="Times New Roman" w:cs="Times New Roman"/>
    </w:rPr>
  </w:style>
  <w:style w:type="paragraph" w:customStyle="1" w:styleId="WCPageNumber">
    <w:name w:val="WCPageNumber"/>
    <w:link w:val="WCPageNumberChar"/>
    <w:uiPriority w:val="99"/>
    <w:rsid w:val="00227943"/>
    <w:pPr>
      <w:spacing w:after="0" w:line="240" w:lineRule="auto"/>
    </w:pPr>
    <w:rPr>
      <w:rFonts w:ascii="Times New Roman" w:hAnsi="Times New Roman" w:cs="Times New Roman"/>
    </w:rPr>
  </w:style>
  <w:style w:type="character" w:customStyle="1" w:styleId="WCPageNumberChar">
    <w:name w:val="WCPageNumber Char"/>
    <w:basedOn w:val="DefaultParagraphFont"/>
    <w:link w:val="WCPageNumber"/>
    <w:uiPriority w:val="99"/>
    <w:rsid w:val="00227943"/>
    <w:rPr>
      <w:rFonts w:ascii="Times New Roman" w:hAnsi="Times New Roman" w:cs="Times New Roman"/>
    </w:rPr>
  </w:style>
  <w:style w:type="character" w:customStyle="1" w:styleId="Heading7Char">
    <w:name w:val="Heading 7 Char"/>
    <w:basedOn w:val="DefaultParagraphFont"/>
    <w:link w:val="Heading7"/>
    <w:uiPriority w:val="9"/>
    <w:rsid w:val="00C621D9"/>
    <w:rPr>
      <w:rFonts w:ascii="Times New Roman" w:eastAsia="MS Mincho" w:hAnsi="Times New Roman" w:cs="Times New Roman"/>
      <w:lang w:val="hu-HU"/>
    </w:rPr>
  </w:style>
  <w:style w:type="paragraph" w:styleId="Revision">
    <w:name w:val="Revision"/>
    <w:hidden/>
    <w:uiPriority w:val="99"/>
    <w:semiHidden/>
    <w:rsid w:val="00C621D9"/>
    <w:pPr>
      <w:spacing w:after="0" w:line="240" w:lineRule="auto"/>
    </w:pPr>
    <w:rPr>
      <w:sz w:val="20"/>
    </w:rPr>
  </w:style>
  <w:style w:type="character" w:customStyle="1" w:styleId="TASTextheading1Char">
    <w:name w:val="TAS Text heading 1 Char"/>
    <w:basedOn w:val="TASNormalchar"/>
    <w:link w:val="TASTextheading1"/>
    <w:rsid w:val="00C621D9"/>
    <w:rPr>
      <w:rFonts w:ascii="Arial" w:eastAsia="MS Mincho" w:hAnsi="Arial" w:cs="Arial"/>
      <w:b/>
      <w:bCs/>
      <w:color w:val="808080" w:themeColor="accent1"/>
      <w:sz w:val="20"/>
      <w:szCs w:val="20"/>
      <w:lang w:val="hu-HU" w:eastAsia="hu-HU"/>
    </w:rPr>
  </w:style>
  <w:style w:type="paragraph" w:customStyle="1" w:styleId="wText1">
    <w:name w:val="wText1"/>
    <w:basedOn w:val="Normal"/>
    <w:uiPriority w:val="2"/>
    <w:qFormat/>
    <w:rsid w:val="00C621D9"/>
    <w:pPr>
      <w:spacing w:after="240" w:line="240" w:lineRule="auto"/>
      <w:ind w:left="720"/>
      <w:jc w:val="both"/>
    </w:pPr>
    <w:rPr>
      <w:rFonts w:ascii="Times New Roman" w:eastAsia="MS Mincho" w:hAnsi="Times New Roman"/>
      <w:sz w:val="24"/>
    </w:rPr>
  </w:style>
  <w:style w:type="paragraph" w:styleId="NormalWeb">
    <w:name w:val="Normal (Web)"/>
    <w:basedOn w:val="Normal"/>
    <w:uiPriority w:val="99"/>
    <w:unhideWhenUsed/>
    <w:rsid w:val="00C621D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blzat-mtrix">
    <w:name w:val="táblázat - mátrix"/>
    <w:basedOn w:val="TableNormal"/>
    <w:uiPriority w:val="2"/>
    <w:qFormat/>
    <w:rsid w:val="001B29F9"/>
    <w:pPr>
      <w:spacing w:after="0" w:line="240" w:lineRule="auto"/>
      <w:contextualSpacing/>
    </w:pPr>
    <w:rPr>
      <w:rFonts w:asciiTheme="majorHAnsi" w:eastAsia="Calibri" w:hAnsiTheme="majorHAnsi"/>
      <w:sz w:val="20"/>
      <w:lang w:bidi="ar-SA"/>
    </w:rPr>
    <w:tblPr>
      <w:tblStyleRowBandSize w:val="1"/>
      <w:tblStyleColBandSize w:val="1"/>
      <w:tblBorders>
        <w:top w:val="single" w:sz="2" w:space="0" w:color="00A3AE" w:themeColor="accent5"/>
        <w:left w:val="single" w:sz="2" w:space="0" w:color="00A3AE" w:themeColor="accent5"/>
        <w:bottom w:val="single" w:sz="2" w:space="0" w:color="00A3AE" w:themeColor="accent5"/>
        <w:right w:val="single" w:sz="2" w:space="0" w:color="00A3AE" w:themeColor="accent5"/>
        <w:insideH w:val="single" w:sz="2" w:space="0" w:color="00A3AE" w:themeColor="accent5"/>
        <w:insideV w:val="single" w:sz="2" w:space="0" w:color="00A3AE" w:themeColor="accent5"/>
      </w:tblBorders>
      <w:tblCellMar>
        <w:top w:w="85" w:type="dxa"/>
      </w:tblCellMar>
    </w:tblPr>
    <w:tcPr>
      <w:shd w:val="clear" w:color="auto" w:fill="auto"/>
      <w:vAlign w:val="center"/>
    </w:tcPr>
    <w:tblStylePr w:type="firstRow">
      <w:rPr>
        <w:rFonts w:asciiTheme="majorHAnsi" w:hAnsiTheme="majorHAnsi"/>
        <w:sz w:val="20"/>
      </w:rPr>
      <w:tblPr/>
      <w:tcPr>
        <w:shd w:val="clear" w:color="auto" w:fill="646464" w:themeFill="background2"/>
      </w:tcPr>
    </w:tblStylePr>
    <w:tblStylePr w:type="firstCol">
      <w:pPr>
        <w:jc w:val="left"/>
      </w:pPr>
      <w:rPr>
        <w:rFonts w:asciiTheme="majorHAnsi" w:hAnsiTheme="majorHAnsi"/>
        <w:sz w:val="20"/>
      </w:rPr>
      <w:tblPr/>
      <w:tcPr>
        <w:shd w:val="clear" w:color="auto" w:fill="646464" w:themeFill="background2"/>
      </w:tcPr>
    </w:tblStylePr>
  </w:style>
  <w:style w:type="table" w:customStyle="1" w:styleId="tblzat-fejlces">
    <w:name w:val="táblázat - fejléces"/>
    <w:basedOn w:val="TableNormal"/>
    <w:uiPriority w:val="1"/>
    <w:qFormat/>
    <w:rsid w:val="001B29F9"/>
    <w:pPr>
      <w:spacing w:after="0" w:line="240" w:lineRule="auto"/>
      <w:contextualSpacing/>
    </w:pPr>
    <w:rPr>
      <w:rFonts w:asciiTheme="majorHAnsi" w:eastAsia="Calibri" w:hAnsiTheme="majorHAnsi"/>
      <w:sz w:val="20"/>
      <w:lang w:bidi="ar-SA"/>
    </w:rPr>
    <w:tblPr>
      <w:tblStyleRowBandSize w:val="1"/>
      <w:tblStyleColBandSize w:val="1"/>
      <w:tblBorders>
        <w:top w:val="single" w:sz="4" w:space="0" w:color="00A3AE" w:themeColor="accent5"/>
        <w:left w:val="single" w:sz="4" w:space="0" w:color="00A3AE" w:themeColor="accent5"/>
        <w:bottom w:val="single" w:sz="4" w:space="0" w:color="00A3AE" w:themeColor="accent5"/>
        <w:right w:val="single" w:sz="4" w:space="0" w:color="00A3AE" w:themeColor="accent5"/>
        <w:insideH w:val="single" w:sz="4" w:space="0" w:color="00A3AE" w:themeColor="accent5"/>
        <w:insideV w:val="single" w:sz="4" w:space="0" w:color="00A3AE" w:themeColor="accent5"/>
      </w:tblBorders>
    </w:tblPr>
    <w:tcPr>
      <w:shd w:val="clear" w:color="auto" w:fill="auto"/>
      <w:tcMar>
        <w:top w:w="85" w:type="dxa"/>
      </w:tcMar>
      <w:vAlign w:val="center"/>
    </w:tcPr>
    <w:tblStylePr w:type="firstRow">
      <w:rPr>
        <w:rFonts w:asciiTheme="majorHAnsi" w:hAnsiTheme="majorHAnsi"/>
        <w:sz w:val="20"/>
      </w:rPr>
      <w:tblPr/>
      <w:tcPr>
        <w:shd w:val="clear" w:color="auto" w:fill="646464" w:themeFill="background2"/>
      </w:tcPr>
    </w:tblStylePr>
    <w:tblStylePr w:type="firstCol">
      <w:rPr>
        <w:rFonts w:asciiTheme="majorHAnsi" w:hAnsiTheme="majorHAnsi"/>
        <w:sz w:val="20"/>
      </w:rPr>
    </w:tblStylePr>
  </w:style>
  <w:style w:type="table" w:customStyle="1" w:styleId="tblzat-oldallces">
    <w:name w:val="táblázat - oldalléces"/>
    <w:basedOn w:val="TableNormal"/>
    <w:uiPriority w:val="3"/>
    <w:qFormat/>
    <w:rsid w:val="001B29F9"/>
    <w:pPr>
      <w:spacing w:after="0" w:line="240" w:lineRule="auto"/>
      <w:contextualSpacing/>
    </w:pPr>
    <w:rPr>
      <w:rFonts w:asciiTheme="majorHAnsi" w:eastAsia="Calibri" w:hAnsiTheme="majorHAnsi"/>
      <w:sz w:val="20"/>
      <w:lang w:bidi="ar-SA"/>
    </w:rPr>
    <w:tblPr>
      <w:tblStyleRowBandSize w:val="1"/>
      <w:tblStyleColBandSize w:val="1"/>
      <w:tblBorders>
        <w:top w:val="single" w:sz="4" w:space="0" w:color="00A3AE" w:themeColor="accent5"/>
        <w:left w:val="single" w:sz="4" w:space="0" w:color="00A3AE" w:themeColor="accent5"/>
        <w:bottom w:val="single" w:sz="4" w:space="0" w:color="00A3AE" w:themeColor="accent5"/>
        <w:right w:val="single" w:sz="4" w:space="0" w:color="00A3AE" w:themeColor="accent5"/>
        <w:insideH w:val="single" w:sz="4" w:space="0" w:color="00A3AE" w:themeColor="accent5"/>
        <w:insideV w:val="single" w:sz="4" w:space="0" w:color="00A3AE" w:themeColor="accent5"/>
      </w:tblBorders>
    </w:tblPr>
    <w:tcPr>
      <w:shd w:val="clear" w:color="auto" w:fill="auto"/>
      <w:tcMar>
        <w:top w:w="85" w:type="dxa"/>
      </w:tcMar>
      <w:vAlign w:val="center"/>
    </w:tcPr>
    <w:tblStylePr w:type="firstRow">
      <w:rPr>
        <w:rFonts w:asciiTheme="majorHAnsi" w:hAnsiTheme="majorHAnsi"/>
        <w:sz w:val="20"/>
      </w:rPr>
    </w:tblStylePr>
    <w:tblStylePr w:type="firstCol">
      <w:rPr>
        <w:rFonts w:asciiTheme="majorHAnsi" w:hAnsiTheme="majorHAnsi"/>
        <w:sz w:val="20"/>
      </w:rPr>
      <w:tblPr/>
      <w:tcPr>
        <w:shd w:val="clear" w:color="auto" w:fill="646464" w:themeFill="background2"/>
      </w:tcPr>
    </w:tblStylePr>
  </w:style>
  <w:style w:type="character" w:styleId="EndnoteReference">
    <w:name w:val="endnote reference"/>
    <w:basedOn w:val="DefaultParagraphFont"/>
    <w:semiHidden/>
    <w:rsid w:val="001B29F9"/>
    <w:rPr>
      <w:vertAlign w:val="superscript"/>
    </w:rPr>
  </w:style>
  <w:style w:type="paragraph" w:customStyle="1" w:styleId="Magyarzszveg">
    <w:name w:val="Magyarázó szöveg"/>
    <w:basedOn w:val="Normal"/>
    <w:next w:val="Normal"/>
    <w:uiPriority w:val="7"/>
    <w:rsid w:val="001B29F9"/>
    <w:pPr>
      <w:spacing w:after="150"/>
      <w:jc w:val="both"/>
    </w:pPr>
    <w:rPr>
      <w:rFonts w:ascii="Calibri" w:hAnsi="Calibri"/>
      <w:color w:val="00A3AE" w:themeColor="accent5"/>
      <w:sz w:val="18"/>
      <w:lang w:bidi="ar-SA"/>
    </w:rPr>
  </w:style>
  <w:style w:type="paragraph" w:customStyle="1" w:styleId="Szmozs">
    <w:name w:val="Számozás"/>
    <w:basedOn w:val="Normal"/>
    <w:uiPriority w:val="4"/>
    <w:qFormat/>
    <w:rsid w:val="001B29F9"/>
    <w:pPr>
      <w:numPr>
        <w:numId w:val="57"/>
      </w:numPr>
      <w:spacing w:before="120" w:after="150"/>
      <w:contextualSpacing/>
      <w:jc w:val="both"/>
    </w:pPr>
    <w:rPr>
      <w:rFonts w:ascii="Calibri" w:hAnsi="Calibri"/>
      <w:sz w:val="20"/>
      <w:lang w:bidi="ar-SA"/>
    </w:rPr>
  </w:style>
  <w:style w:type="paragraph" w:styleId="Title">
    <w:name w:val="Title"/>
    <w:basedOn w:val="Normal"/>
    <w:next w:val="Normal"/>
    <w:link w:val="TitleChar"/>
    <w:uiPriority w:val="3"/>
    <w:qFormat/>
    <w:rsid w:val="001B29F9"/>
    <w:pPr>
      <w:spacing w:after="300"/>
      <w:contextualSpacing/>
      <w:jc w:val="both"/>
    </w:pPr>
    <w:rPr>
      <w:rFonts w:ascii="Calibri" w:eastAsiaTheme="majorEastAsia" w:hAnsi="Calibri" w:cstheme="majorBidi"/>
      <w:caps/>
      <w:color w:val="00A3AE" w:themeColor="accent5"/>
      <w:spacing w:val="5"/>
      <w:kern w:val="28"/>
      <w:sz w:val="24"/>
      <w:szCs w:val="52"/>
      <w:lang w:bidi="ar-SA"/>
    </w:rPr>
  </w:style>
  <w:style w:type="character" w:customStyle="1" w:styleId="TitleChar">
    <w:name w:val="Title Char"/>
    <w:basedOn w:val="DefaultParagraphFont"/>
    <w:link w:val="Title"/>
    <w:uiPriority w:val="3"/>
    <w:rsid w:val="001B29F9"/>
    <w:rPr>
      <w:rFonts w:ascii="Calibri" w:eastAsiaTheme="majorEastAsia" w:hAnsi="Calibri" w:cstheme="majorBidi"/>
      <w:caps/>
      <w:color w:val="00A3AE" w:themeColor="accent5"/>
      <w:spacing w:val="5"/>
      <w:kern w:val="28"/>
      <w:sz w:val="24"/>
      <w:szCs w:val="52"/>
      <w:lang w:bidi="ar-SA"/>
    </w:rPr>
  </w:style>
  <w:style w:type="numbering" w:customStyle="1" w:styleId="Style1">
    <w:name w:val="Style1"/>
    <w:uiPriority w:val="99"/>
    <w:rsid w:val="001B29F9"/>
    <w:pPr>
      <w:numPr>
        <w:numId w:val="55"/>
      </w:numPr>
    </w:pPr>
  </w:style>
  <w:style w:type="paragraph" w:styleId="TOC7">
    <w:name w:val="toc 7"/>
    <w:basedOn w:val="Normal"/>
    <w:next w:val="Normal"/>
    <w:autoRedefine/>
    <w:uiPriority w:val="99"/>
    <w:semiHidden/>
    <w:rsid w:val="001B29F9"/>
    <w:pPr>
      <w:spacing w:after="100"/>
      <w:ind w:left="1200"/>
      <w:jc w:val="both"/>
    </w:pPr>
    <w:rPr>
      <w:rFonts w:ascii="Calibri" w:hAnsi="Calibri"/>
      <w:color w:val="606060" w:themeColor="accent6" w:themeShade="80"/>
      <w:sz w:val="20"/>
      <w:lang w:bidi="ar-SA"/>
    </w:rPr>
  </w:style>
  <w:style w:type="paragraph" w:styleId="TOC8">
    <w:name w:val="toc 8"/>
    <w:basedOn w:val="Normal"/>
    <w:next w:val="Normal"/>
    <w:autoRedefine/>
    <w:uiPriority w:val="99"/>
    <w:semiHidden/>
    <w:rsid w:val="001B29F9"/>
    <w:pPr>
      <w:spacing w:after="100"/>
      <w:ind w:left="1400"/>
      <w:jc w:val="both"/>
    </w:pPr>
    <w:rPr>
      <w:rFonts w:ascii="Calibri" w:hAnsi="Calibri"/>
      <w:color w:val="606060" w:themeColor="accent6" w:themeShade="80"/>
      <w:sz w:val="20"/>
      <w:lang w:bidi="ar-SA"/>
    </w:rPr>
  </w:style>
  <w:style w:type="paragraph" w:styleId="TOC9">
    <w:name w:val="toc 9"/>
    <w:basedOn w:val="Normal"/>
    <w:next w:val="Normal"/>
    <w:autoRedefine/>
    <w:uiPriority w:val="99"/>
    <w:semiHidden/>
    <w:rsid w:val="001B29F9"/>
    <w:pPr>
      <w:spacing w:after="100"/>
      <w:ind w:left="1600"/>
      <w:jc w:val="both"/>
    </w:pPr>
    <w:rPr>
      <w:rFonts w:ascii="Calibri" w:hAnsi="Calibri"/>
      <w:color w:val="606060" w:themeColor="accent6" w:themeShade="80"/>
      <w:sz w:val="20"/>
      <w:lang w:bidi="ar-SA"/>
    </w:rPr>
  </w:style>
  <w:style w:type="table" w:customStyle="1" w:styleId="Calendar2">
    <w:name w:val="Calendar 2"/>
    <w:basedOn w:val="TableNormal"/>
    <w:uiPriority w:val="99"/>
    <w:qFormat/>
    <w:rsid w:val="001B29F9"/>
    <w:pPr>
      <w:spacing w:after="0" w:line="240" w:lineRule="auto"/>
      <w:jc w:val="center"/>
    </w:pPr>
    <w:rPr>
      <w:rFonts w:ascii="Verdana" w:eastAsiaTheme="minorEastAsia" w:hAnsi="Verdana"/>
      <w:sz w:val="20"/>
      <w:szCs w:val="28"/>
      <w:lang w:val="en-US" w:eastAsia="en-US" w:bidi="en-US"/>
    </w:rPr>
    <w:tblPr>
      <w:tblBorders>
        <w:insideV w:val="single" w:sz="4" w:space="0" w:color="B2B2B2" w:themeColor="accent1" w:themeTint="99"/>
      </w:tblBorders>
    </w:tblPr>
    <w:tblStylePr w:type="firstRow">
      <w:rPr>
        <w:rFonts w:asciiTheme="majorHAnsi" w:eastAsiaTheme="majorEastAsia" w:hAnsiTheme="majorHAnsi" w:cstheme="majorBidi"/>
        <w:caps/>
        <w:color w:val="808080" w:themeColor="accent1"/>
        <w:spacing w:val="20"/>
        <w:sz w:val="32"/>
        <w:szCs w:val="32"/>
      </w:rPr>
      <w:tblPr/>
      <w:tcPr>
        <w:tcBorders>
          <w:top w:val="nil"/>
          <w:left w:val="nil"/>
          <w:bottom w:val="nil"/>
          <w:right w:val="nil"/>
          <w:insideH w:val="nil"/>
          <w:insideV w:val="nil"/>
          <w:tl2br w:val="nil"/>
          <w:tr2bl w:val="nil"/>
        </w:tcBorders>
      </w:tcPr>
    </w:tblStylePr>
  </w:style>
  <w:style w:type="character" w:styleId="SubtleEmphasis">
    <w:name w:val="Subtle Emphasis"/>
    <w:basedOn w:val="DefaultParagraphFont"/>
    <w:uiPriority w:val="19"/>
    <w:qFormat/>
    <w:rsid w:val="001B29F9"/>
    <w:rPr>
      <w:rFonts w:ascii="Calibri" w:eastAsiaTheme="minorEastAsia" w:hAnsi="Calibri" w:cstheme="minorBidi"/>
      <w:bCs w:val="0"/>
      <w:i/>
      <w:iCs/>
      <w:color w:val="808080" w:themeColor="text1" w:themeTint="7F"/>
      <w:sz w:val="20"/>
      <w:szCs w:val="22"/>
      <w:lang w:val="hu-HU"/>
    </w:rPr>
  </w:style>
  <w:style w:type="table" w:customStyle="1" w:styleId="LightShading-Accent11">
    <w:name w:val="Light Shading - Accent 11"/>
    <w:basedOn w:val="TableNormal"/>
    <w:uiPriority w:val="60"/>
    <w:rsid w:val="001B29F9"/>
    <w:pPr>
      <w:spacing w:after="0" w:line="240" w:lineRule="auto"/>
    </w:pPr>
    <w:rPr>
      <w:rFonts w:ascii="Verdana" w:eastAsiaTheme="minorEastAsia" w:hAnsi="Verdana"/>
      <w:color w:val="5F5F5F" w:themeColor="accent1" w:themeShade="BF"/>
      <w:sz w:val="20"/>
      <w:lang w:eastAsia="en-US" w:bidi="ar-SA"/>
    </w:rPr>
    <w:tblPr>
      <w:tblStyleRowBandSize w:val="1"/>
      <w:tblStyleColBandSize w:val="1"/>
      <w:tblBorders>
        <w:top w:val="single" w:sz="8" w:space="0" w:color="808080" w:themeColor="accent1"/>
        <w:bottom w:val="single" w:sz="8" w:space="0" w:color="808080" w:themeColor="accent1"/>
      </w:tblBorders>
    </w:tblPr>
    <w:tblStylePr w:type="firstRow">
      <w:pPr>
        <w:spacing w:before="0" w:after="0" w:line="240" w:lineRule="auto"/>
      </w:pPr>
      <w:rPr>
        <w:b/>
        <w:bCs/>
      </w:rPr>
      <w:tblPr/>
      <w:tcPr>
        <w:tcBorders>
          <w:top w:val="single" w:sz="8" w:space="0" w:color="808080" w:themeColor="accent1"/>
          <w:left w:val="nil"/>
          <w:bottom w:val="single" w:sz="8" w:space="0" w:color="808080" w:themeColor="accent1"/>
          <w:right w:val="nil"/>
          <w:insideH w:val="nil"/>
          <w:insideV w:val="nil"/>
        </w:tcBorders>
      </w:tcPr>
    </w:tblStylePr>
    <w:tblStylePr w:type="lastRow">
      <w:pPr>
        <w:spacing w:before="0" w:after="0" w:line="240" w:lineRule="auto"/>
      </w:pPr>
      <w:rPr>
        <w:b/>
        <w:bCs/>
      </w:rPr>
      <w:tblPr/>
      <w:tcPr>
        <w:tcBorders>
          <w:top w:val="single" w:sz="8" w:space="0" w:color="808080" w:themeColor="accent1"/>
          <w:left w:val="nil"/>
          <w:bottom w:val="single" w:sz="8" w:space="0" w:color="80808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1" w:themeFillTint="3F"/>
      </w:tcPr>
    </w:tblStylePr>
    <w:tblStylePr w:type="band1Horz">
      <w:tblPr/>
      <w:tcPr>
        <w:tcBorders>
          <w:left w:val="nil"/>
          <w:right w:val="nil"/>
          <w:insideH w:val="nil"/>
          <w:insideV w:val="nil"/>
        </w:tcBorders>
        <w:shd w:val="clear" w:color="auto" w:fill="DFDFDF" w:themeFill="accent1" w:themeFillTint="3F"/>
      </w:tcPr>
    </w:tblStylePr>
  </w:style>
  <w:style w:type="paragraph" w:styleId="Caption">
    <w:name w:val="caption"/>
    <w:basedOn w:val="Normal"/>
    <w:next w:val="Normal"/>
    <w:uiPriority w:val="35"/>
    <w:unhideWhenUsed/>
    <w:qFormat/>
    <w:rsid w:val="001B29F9"/>
    <w:pPr>
      <w:spacing w:after="200"/>
    </w:pPr>
    <w:rPr>
      <w:rFonts w:ascii="Calibri" w:hAnsi="Calibri"/>
      <w:b/>
      <w:bCs/>
      <w:color w:val="FFFFFF" w:themeColor="text2"/>
      <w:sz w:val="18"/>
      <w:szCs w:val="18"/>
      <w:lang w:bidi="ar-SA"/>
    </w:rPr>
  </w:style>
  <w:style w:type="paragraph" w:styleId="EndnoteText">
    <w:name w:val="endnote text"/>
    <w:basedOn w:val="Normal"/>
    <w:link w:val="EndnoteTextChar"/>
    <w:uiPriority w:val="99"/>
    <w:semiHidden/>
    <w:unhideWhenUsed/>
    <w:rsid w:val="001B29F9"/>
    <w:pPr>
      <w:spacing w:after="150"/>
      <w:jc w:val="both"/>
    </w:pPr>
    <w:rPr>
      <w:rFonts w:ascii="Calibri" w:hAnsi="Calibri"/>
      <w:color w:val="606060" w:themeColor="accent6" w:themeShade="80"/>
      <w:sz w:val="20"/>
      <w:szCs w:val="20"/>
      <w:lang w:bidi="ar-SA"/>
    </w:rPr>
  </w:style>
  <w:style w:type="character" w:customStyle="1" w:styleId="EndnoteTextChar">
    <w:name w:val="Endnote Text Char"/>
    <w:basedOn w:val="DefaultParagraphFont"/>
    <w:link w:val="EndnoteText"/>
    <w:uiPriority w:val="99"/>
    <w:semiHidden/>
    <w:rsid w:val="001B29F9"/>
    <w:rPr>
      <w:rFonts w:ascii="Calibri" w:hAnsi="Calibri"/>
      <w:color w:val="606060" w:themeColor="accent6" w:themeShade="80"/>
      <w:sz w:val="20"/>
      <w:szCs w:val="20"/>
      <w:lang w:bidi="ar-SA"/>
    </w:rPr>
  </w:style>
  <w:style w:type="table" w:customStyle="1" w:styleId="Vilgosrnykols1jellszn1">
    <w:name w:val="Világos árnyékolás – 1. jelölőszín1"/>
    <w:basedOn w:val="TableNormal"/>
    <w:uiPriority w:val="60"/>
    <w:rsid w:val="001B29F9"/>
    <w:pPr>
      <w:spacing w:after="0" w:line="240" w:lineRule="auto"/>
    </w:pPr>
    <w:rPr>
      <w:rFonts w:ascii="Verdana" w:hAnsi="Verdana"/>
      <w:color w:val="5F5F5F" w:themeColor="accent1" w:themeShade="BF"/>
      <w:sz w:val="20"/>
      <w:lang w:bidi="ar-SA"/>
    </w:rPr>
    <w:tblPr>
      <w:tblStyleRowBandSize w:val="1"/>
      <w:tblStyleColBandSize w:val="1"/>
      <w:tblBorders>
        <w:top w:val="single" w:sz="8" w:space="0" w:color="808080" w:themeColor="accent1"/>
        <w:bottom w:val="single" w:sz="8" w:space="0" w:color="808080" w:themeColor="accent1"/>
      </w:tblBorders>
    </w:tblPr>
    <w:tblStylePr w:type="firstRow">
      <w:pPr>
        <w:spacing w:before="0" w:after="0" w:line="240" w:lineRule="auto"/>
      </w:pPr>
      <w:rPr>
        <w:b/>
        <w:bCs/>
      </w:rPr>
      <w:tblPr/>
      <w:tcPr>
        <w:tcBorders>
          <w:top w:val="single" w:sz="8" w:space="0" w:color="808080" w:themeColor="accent1"/>
          <w:left w:val="nil"/>
          <w:bottom w:val="single" w:sz="8" w:space="0" w:color="808080" w:themeColor="accent1"/>
          <w:right w:val="nil"/>
          <w:insideH w:val="nil"/>
          <w:insideV w:val="nil"/>
        </w:tcBorders>
      </w:tcPr>
    </w:tblStylePr>
    <w:tblStylePr w:type="lastRow">
      <w:pPr>
        <w:spacing w:before="0" w:after="0" w:line="240" w:lineRule="auto"/>
      </w:pPr>
      <w:rPr>
        <w:b/>
        <w:bCs/>
      </w:rPr>
      <w:tblPr/>
      <w:tcPr>
        <w:tcBorders>
          <w:top w:val="single" w:sz="8" w:space="0" w:color="808080" w:themeColor="accent1"/>
          <w:left w:val="nil"/>
          <w:bottom w:val="single" w:sz="8" w:space="0" w:color="80808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1" w:themeFillTint="3F"/>
      </w:tcPr>
    </w:tblStylePr>
    <w:tblStylePr w:type="band1Horz">
      <w:tblPr/>
      <w:tcPr>
        <w:tcBorders>
          <w:left w:val="nil"/>
          <w:right w:val="nil"/>
          <w:insideH w:val="nil"/>
          <w:insideV w:val="nil"/>
        </w:tcBorders>
        <w:shd w:val="clear" w:color="auto" w:fill="DFDFDF" w:themeFill="accent1" w:themeFillTint="3F"/>
      </w:tcPr>
    </w:tblStylePr>
  </w:style>
  <w:style w:type="paragraph" w:customStyle="1" w:styleId="Listaszerbekezds2">
    <w:name w:val="Listaszerű bekezdés 2"/>
    <w:basedOn w:val="ListParagraph"/>
    <w:link w:val="Listaszerbekezds2Char"/>
    <w:uiPriority w:val="4"/>
    <w:qFormat/>
    <w:rsid w:val="001B29F9"/>
    <w:pPr>
      <w:numPr>
        <w:numId w:val="58"/>
      </w:numPr>
      <w:spacing w:after="150"/>
      <w:jc w:val="both"/>
    </w:pPr>
    <w:rPr>
      <w:sz w:val="20"/>
      <w:lang w:bidi="ar-SA"/>
    </w:rPr>
  </w:style>
  <w:style w:type="paragraph" w:customStyle="1" w:styleId="Tblaszvegstlus">
    <w:name w:val="Tábla szöveg stílus"/>
    <w:basedOn w:val="Normal"/>
    <w:link w:val="TblaszvegstlusChar"/>
    <w:uiPriority w:val="8"/>
    <w:qFormat/>
    <w:rsid w:val="001B29F9"/>
    <w:pPr>
      <w:spacing w:after="150"/>
      <w:jc w:val="both"/>
    </w:pPr>
    <w:rPr>
      <w:rFonts w:ascii="Calibri" w:hAnsi="Calibri"/>
      <w:sz w:val="20"/>
      <w:lang w:bidi="ar-SA"/>
    </w:rPr>
  </w:style>
  <w:style w:type="character" w:customStyle="1" w:styleId="ListParagraphChar">
    <w:name w:val="List Paragraph Char"/>
    <w:basedOn w:val="DefaultParagraphFont"/>
    <w:link w:val="ListParagraph"/>
    <w:uiPriority w:val="4"/>
    <w:rsid w:val="001B29F9"/>
    <w:rPr>
      <w:rFonts w:ascii="EYInterstate Light" w:hAnsi="EYInterstate Light"/>
    </w:rPr>
  </w:style>
  <w:style w:type="character" w:customStyle="1" w:styleId="Listaszerbekezds2Char">
    <w:name w:val="Listaszerű bekezdés 2 Char"/>
    <w:basedOn w:val="ListParagraphChar"/>
    <w:link w:val="Listaszerbekezds2"/>
    <w:uiPriority w:val="4"/>
    <w:rsid w:val="001B29F9"/>
    <w:rPr>
      <w:rFonts w:ascii="EYInterstate Light" w:hAnsi="EYInterstate Light"/>
      <w:sz w:val="20"/>
      <w:lang w:bidi="ar-SA"/>
    </w:rPr>
  </w:style>
  <w:style w:type="character" w:customStyle="1" w:styleId="TblaszvegstlusChar">
    <w:name w:val="Tábla szöveg stílus Char"/>
    <w:basedOn w:val="DefaultParagraphFont"/>
    <w:link w:val="Tblaszvegstlus"/>
    <w:uiPriority w:val="8"/>
    <w:rsid w:val="001B29F9"/>
    <w:rPr>
      <w:rFonts w:ascii="Calibri" w:hAnsi="Calibri"/>
      <w:sz w:val="20"/>
      <w:lang w:bidi="ar-SA"/>
    </w:rPr>
  </w:style>
  <w:style w:type="character" w:styleId="SubtleReference">
    <w:name w:val="Subtle Reference"/>
    <w:basedOn w:val="DefaultParagraphFont"/>
    <w:uiPriority w:val="31"/>
    <w:rsid w:val="001B29F9"/>
    <w:rPr>
      <w:sz w:val="24"/>
      <w:szCs w:val="24"/>
      <w:u w:val="single"/>
    </w:rPr>
  </w:style>
  <w:style w:type="character" w:styleId="IntenseReference">
    <w:name w:val="Intense Reference"/>
    <w:basedOn w:val="DefaultParagraphFont"/>
    <w:uiPriority w:val="32"/>
    <w:rsid w:val="001B29F9"/>
    <w:rPr>
      <w:b/>
      <w:sz w:val="24"/>
      <w:u w:val="single"/>
    </w:rPr>
  </w:style>
  <w:style w:type="paragraph" w:customStyle="1" w:styleId="Listaszerbekezds2szint">
    <w:name w:val="Listaszerű bekezdés 2. szint"/>
    <w:basedOn w:val="ListParagraph"/>
    <w:link w:val="Listaszerbekezds2szintChar"/>
    <w:uiPriority w:val="4"/>
    <w:qFormat/>
    <w:rsid w:val="001B29F9"/>
    <w:pPr>
      <w:numPr>
        <w:numId w:val="60"/>
      </w:numPr>
      <w:spacing w:after="150"/>
      <w:jc w:val="both"/>
    </w:pPr>
    <w:rPr>
      <w:rFonts w:ascii="Calibri" w:hAnsi="Calibri"/>
      <w:sz w:val="20"/>
      <w:lang w:bidi="ar-SA"/>
    </w:rPr>
  </w:style>
  <w:style w:type="paragraph" w:customStyle="1" w:styleId="Listaszerbekezds3szint">
    <w:name w:val="Listaszerű bekezdés 3. szint"/>
    <w:basedOn w:val="ListParagraph"/>
    <w:link w:val="Listaszerbekezds3szintChar"/>
    <w:uiPriority w:val="4"/>
    <w:qFormat/>
    <w:rsid w:val="001B29F9"/>
    <w:pPr>
      <w:spacing w:after="150"/>
      <w:ind w:left="2160" w:hanging="360"/>
      <w:jc w:val="both"/>
    </w:pPr>
    <w:rPr>
      <w:rFonts w:ascii="Calibri" w:hAnsi="Calibri"/>
      <w:sz w:val="20"/>
      <w:lang w:bidi="ar-SA"/>
    </w:rPr>
  </w:style>
  <w:style w:type="character" w:customStyle="1" w:styleId="Listaszerbekezds2szintChar">
    <w:name w:val="Listaszerű bekezdés 2. szint Char"/>
    <w:basedOn w:val="ListParagraphChar"/>
    <w:link w:val="Listaszerbekezds2szint"/>
    <w:uiPriority w:val="4"/>
    <w:rsid w:val="001B29F9"/>
    <w:rPr>
      <w:rFonts w:ascii="Calibri" w:hAnsi="Calibri"/>
      <w:sz w:val="20"/>
      <w:lang w:bidi="ar-SA"/>
    </w:rPr>
  </w:style>
  <w:style w:type="character" w:customStyle="1" w:styleId="Listaszerbekezds3szintChar">
    <w:name w:val="Listaszerű bekezdés 3. szint Char"/>
    <w:basedOn w:val="ListParagraphChar"/>
    <w:link w:val="Listaszerbekezds3szint"/>
    <w:uiPriority w:val="4"/>
    <w:rsid w:val="001B29F9"/>
    <w:rPr>
      <w:rFonts w:ascii="Calibri" w:hAnsi="Calibri"/>
      <w:sz w:val="20"/>
      <w:lang w:bidi="ar-SA"/>
    </w:rPr>
  </w:style>
  <w:style w:type="paragraph" w:styleId="Subtitle">
    <w:name w:val="Subtitle"/>
    <w:basedOn w:val="Normal"/>
    <w:next w:val="Normal"/>
    <w:link w:val="SubtitleChar"/>
    <w:uiPriority w:val="11"/>
    <w:rsid w:val="001B29F9"/>
    <w:pPr>
      <w:spacing w:after="60"/>
      <w:jc w:val="center"/>
      <w:outlineLvl w:val="1"/>
    </w:pPr>
    <w:rPr>
      <w:rFonts w:ascii="Calibri" w:eastAsiaTheme="majorEastAsia" w:hAnsi="Calibri" w:cstheme="majorBidi"/>
      <w:sz w:val="20"/>
      <w:lang w:bidi="ar-SA"/>
    </w:rPr>
  </w:style>
  <w:style w:type="character" w:customStyle="1" w:styleId="SubtitleChar">
    <w:name w:val="Subtitle Char"/>
    <w:basedOn w:val="DefaultParagraphFont"/>
    <w:link w:val="Subtitle"/>
    <w:uiPriority w:val="11"/>
    <w:rsid w:val="001B29F9"/>
    <w:rPr>
      <w:rFonts w:ascii="Calibri" w:eastAsiaTheme="majorEastAsia" w:hAnsi="Calibri" w:cstheme="majorBidi"/>
      <w:sz w:val="20"/>
      <w:lang w:bidi="ar-SA"/>
    </w:rPr>
  </w:style>
  <w:style w:type="paragraph" w:customStyle="1" w:styleId="Listabetvel">
    <w:name w:val="Lista betűvel"/>
    <w:basedOn w:val="ListParagraph"/>
    <w:link w:val="ListabetvelChar"/>
    <w:uiPriority w:val="4"/>
    <w:qFormat/>
    <w:rsid w:val="001B29F9"/>
    <w:pPr>
      <w:numPr>
        <w:numId w:val="59"/>
      </w:numPr>
      <w:spacing w:after="150"/>
      <w:jc w:val="both"/>
    </w:pPr>
    <w:rPr>
      <w:rFonts w:ascii="Calibri" w:hAnsi="Calibri"/>
      <w:sz w:val="20"/>
      <w:lang w:bidi="ar-SA"/>
    </w:rPr>
  </w:style>
  <w:style w:type="character" w:customStyle="1" w:styleId="ListabetvelChar">
    <w:name w:val="Lista betűvel Char"/>
    <w:basedOn w:val="ListParagraphChar"/>
    <w:link w:val="Listabetvel"/>
    <w:uiPriority w:val="4"/>
    <w:rsid w:val="001B29F9"/>
    <w:rPr>
      <w:rFonts w:ascii="Calibri" w:hAnsi="Calibri"/>
      <w:sz w:val="20"/>
      <w:lang w:bidi="ar-SA"/>
    </w:rPr>
  </w:style>
  <w:style w:type="paragraph" w:customStyle="1" w:styleId="Erskiemels">
    <w:name w:val="Erős kiemelés"/>
    <w:basedOn w:val="Normal"/>
    <w:link w:val="ErskiemelsChar"/>
    <w:uiPriority w:val="5"/>
    <w:qFormat/>
    <w:rsid w:val="001B29F9"/>
    <w:pPr>
      <w:spacing w:after="150"/>
      <w:jc w:val="both"/>
    </w:pPr>
    <w:rPr>
      <w:rFonts w:ascii="Calibri" w:hAnsi="Calibri"/>
      <w:b/>
      <w:i/>
      <w:sz w:val="20"/>
      <w:lang w:bidi="ar-SA"/>
    </w:rPr>
  </w:style>
  <w:style w:type="character" w:customStyle="1" w:styleId="ErskiemelsChar">
    <w:name w:val="Erős kiemelés Char"/>
    <w:basedOn w:val="DefaultParagraphFont"/>
    <w:link w:val="Erskiemels"/>
    <w:uiPriority w:val="5"/>
    <w:rsid w:val="001B29F9"/>
    <w:rPr>
      <w:rFonts w:ascii="Calibri" w:hAnsi="Calibri"/>
      <w:b/>
      <w:i/>
      <w:sz w:val="20"/>
      <w:lang w:bidi="ar-SA"/>
    </w:rPr>
  </w:style>
  <w:style w:type="paragraph" w:customStyle="1" w:styleId="Bold">
    <w:name w:val="Bold"/>
    <w:basedOn w:val="Normal"/>
    <w:link w:val="BoldChar"/>
    <w:uiPriority w:val="6"/>
    <w:qFormat/>
    <w:rsid w:val="001B29F9"/>
    <w:pPr>
      <w:spacing w:after="150"/>
      <w:jc w:val="both"/>
    </w:pPr>
    <w:rPr>
      <w:rFonts w:ascii="Calibri" w:hAnsi="Calibri"/>
      <w:b/>
      <w:sz w:val="20"/>
      <w:lang w:bidi="ar-SA"/>
    </w:rPr>
  </w:style>
  <w:style w:type="character" w:customStyle="1" w:styleId="BoldChar">
    <w:name w:val="Bold Char"/>
    <w:basedOn w:val="DefaultParagraphFont"/>
    <w:link w:val="Bold"/>
    <w:uiPriority w:val="6"/>
    <w:rsid w:val="001B29F9"/>
    <w:rPr>
      <w:rFonts w:ascii="Calibri" w:hAnsi="Calibri"/>
      <w:b/>
      <w:sz w:val="20"/>
      <w:lang w:bidi="ar-SA"/>
    </w:rPr>
  </w:style>
  <w:style w:type="character" w:styleId="FollowedHyperlink">
    <w:name w:val="FollowedHyperlink"/>
    <w:basedOn w:val="DefaultParagraphFont"/>
    <w:uiPriority w:val="99"/>
    <w:semiHidden/>
    <w:unhideWhenUsed/>
    <w:rsid w:val="001B29F9"/>
    <w:rPr>
      <w:color w:val="91278F" w:themeColor="followedHyperlink"/>
      <w:u w:val="single"/>
    </w:rPr>
  </w:style>
  <w:style w:type="paragraph" w:styleId="TOCHeading">
    <w:name w:val="TOC Heading"/>
    <w:basedOn w:val="Heading1"/>
    <w:next w:val="Normal"/>
    <w:uiPriority w:val="39"/>
    <w:unhideWhenUsed/>
    <w:qFormat/>
    <w:rsid w:val="001B29F9"/>
    <w:pPr>
      <w:spacing w:before="480"/>
      <w:outlineLvl w:val="9"/>
    </w:pPr>
    <w:rPr>
      <w:rFonts w:ascii="Calibri" w:hAnsi="Calibri"/>
      <w:color w:val="00A3AE" w:themeColor="accent5"/>
      <w:sz w:val="24"/>
      <w:lang w:bidi="ar-SA"/>
    </w:rPr>
  </w:style>
  <w:style w:type="paragraph" w:customStyle="1" w:styleId="StyleTOC2Left015">
    <w:name w:val="Style TOC 2 + Left:  0.15&quot;"/>
    <w:basedOn w:val="TOC2"/>
    <w:rsid w:val="001B29F9"/>
    <w:pPr>
      <w:tabs>
        <w:tab w:val="clear" w:pos="10325"/>
      </w:tabs>
      <w:spacing w:after="100" w:line="276" w:lineRule="auto"/>
      <w:ind w:left="216" w:right="0"/>
    </w:pPr>
    <w:rPr>
      <w:rFonts w:ascii="Calibri" w:eastAsia="Times New Roman" w:hAnsi="Calibri" w:cs="Times New Roman"/>
      <w:b w:val="0"/>
      <w:color w:val="auto"/>
      <w:sz w:val="20"/>
      <w:lang w:bidi="ar-SA"/>
    </w:rPr>
  </w:style>
  <w:style w:type="paragraph" w:customStyle="1" w:styleId="StyleTOC3Left031">
    <w:name w:val="Style TOC 3 + Left:  0.31&quot;"/>
    <w:basedOn w:val="TOC3"/>
    <w:rsid w:val="001B29F9"/>
    <w:pPr>
      <w:numPr>
        <w:numId w:val="0"/>
      </w:numPr>
      <w:tabs>
        <w:tab w:val="clear" w:pos="10325"/>
      </w:tabs>
      <w:spacing w:after="100" w:line="276" w:lineRule="auto"/>
      <w:ind w:left="446" w:right="0"/>
      <w:jc w:val="both"/>
    </w:pPr>
    <w:rPr>
      <w:rFonts w:ascii="Calibri" w:eastAsia="Times New Roman" w:hAnsi="Calibri" w:cs="Times New Roman"/>
      <w:lang w:bidi="ar-SA"/>
    </w:rPr>
  </w:style>
  <w:style w:type="numbering" w:customStyle="1" w:styleId="Hierarchikuslista">
    <w:name w:val="Hierarchikus lista"/>
    <w:uiPriority w:val="99"/>
    <w:rsid w:val="001B29F9"/>
    <w:pPr>
      <w:numPr>
        <w:numId w:val="56"/>
      </w:numPr>
    </w:pPr>
  </w:style>
  <w:style w:type="paragraph" w:customStyle="1" w:styleId="HierarchikusLista0">
    <w:name w:val="Hierarchikus Lista"/>
    <w:basedOn w:val="ListParagraph"/>
    <w:link w:val="HierarchikusListaChar"/>
    <w:qFormat/>
    <w:rsid w:val="001B29F9"/>
    <w:pPr>
      <w:spacing w:after="150"/>
      <w:ind w:left="0"/>
      <w:jc w:val="both"/>
    </w:pPr>
    <w:rPr>
      <w:rFonts w:ascii="Calibri" w:hAnsi="Calibri"/>
      <w:sz w:val="20"/>
      <w:lang w:bidi="ar-SA"/>
    </w:rPr>
  </w:style>
  <w:style w:type="character" w:customStyle="1" w:styleId="HierarchikusListaChar">
    <w:name w:val="Hierarchikus Lista Char"/>
    <w:basedOn w:val="ListParagraphChar"/>
    <w:link w:val="HierarchikusLista0"/>
    <w:rsid w:val="001B29F9"/>
    <w:rPr>
      <w:rFonts w:ascii="Calibri" w:hAnsi="Calibri"/>
      <w:sz w:val="20"/>
      <w:lang w:bidi="ar-SA"/>
    </w:rPr>
  </w:style>
  <w:style w:type="character" w:styleId="Strong">
    <w:name w:val="Strong"/>
    <w:basedOn w:val="DefaultParagraphFont"/>
    <w:uiPriority w:val="22"/>
    <w:rsid w:val="001B29F9"/>
    <w:rPr>
      <w:b/>
      <w:bCs/>
    </w:rPr>
  </w:style>
  <w:style w:type="character" w:styleId="Emphasis">
    <w:name w:val="Emphasis"/>
    <w:basedOn w:val="DefaultParagraphFont"/>
    <w:uiPriority w:val="6"/>
    <w:qFormat/>
    <w:rsid w:val="001B29F9"/>
    <w:rPr>
      <w:i/>
      <w:iCs/>
    </w:rPr>
  </w:style>
  <w:style w:type="paragraph" w:styleId="Quote">
    <w:name w:val="Quote"/>
    <w:basedOn w:val="Normal"/>
    <w:next w:val="Normal"/>
    <w:link w:val="QuoteChar"/>
    <w:uiPriority w:val="29"/>
    <w:rsid w:val="001B29F9"/>
    <w:pPr>
      <w:spacing w:after="150"/>
      <w:jc w:val="both"/>
    </w:pPr>
    <w:rPr>
      <w:rFonts w:ascii="Calibri" w:hAnsi="Calibri"/>
      <w:i/>
      <w:sz w:val="20"/>
      <w:lang w:bidi="ar-SA"/>
    </w:rPr>
  </w:style>
  <w:style w:type="character" w:customStyle="1" w:styleId="QuoteChar">
    <w:name w:val="Quote Char"/>
    <w:basedOn w:val="DefaultParagraphFont"/>
    <w:link w:val="Quote"/>
    <w:uiPriority w:val="29"/>
    <w:rsid w:val="001B29F9"/>
    <w:rPr>
      <w:rFonts w:ascii="Calibri" w:hAnsi="Calibri"/>
      <w:i/>
      <w:sz w:val="20"/>
      <w:lang w:bidi="ar-SA"/>
    </w:rPr>
  </w:style>
  <w:style w:type="paragraph" w:styleId="IntenseQuote">
    <w:name w:val="Intense Quote"/>
    <w:basedOn w:val="Normal"/>
    <w:next w:val="Normal"/>
    <w:link w:val="IntenseQuoteChar"/>
    <w:uiPriority w:val="30"/>
    <w:rsid w:val="001B29F9"/>
    <w:pPr>
      <w:spacing w:after="150"/>
      <w:ind w:left="720" w:right="720"/>
      <w:jc w:val="both"/>
    </w:pPr>
    <w:rPr>
      <w:rFonts w:ascii="Calibri" w:hAnsi="Calibri"/>
      <w:b/>
      <w:i/>
      <w:sz w:val="20"/>
      <w:lang w:bidi="ar-SA"/>
    </w:rPr>
  </w:style>
  <w:style w:type="character" w:customStyle="1" w:styleId="IntenseQuoteChar">
    <w:name w:val="Intense Quote Char"/>
    <w:basedOn w:val="DefaultParagraphFont"/>
    <w:link w:val="IntenseQuote"/>
    <w:uiPriority w:val="30"/>
    <w:rsid w:val="001B29F9"/>
    <w:rPr>
      <w:rFonts w:ascii="Calibri" w:hAnsi="Calibri"/>
      <w:b/>
      <w:i/>
      <w:sz w:val="20"/>
      <w:lang w:bidi="ar-SA"/>
    </w:rPr>
  </w:style>
  <w:style w:type="character" w:styleId="IntenseEmphasis">
    <w:name w:val="Intense Emphasis"/>
    <w:basedOn w:val="DefaultParagraphFont"/>
    <w:uiPriority w:val="21"/>
    <w:rsid w:val="001B29F9"/>
    <w:rPr>
      <w:b/>
      <w:i/>
      <w:sz w:val="24"/>
      <w:szCs w:val="24"/>
      <w:u w:val="single"/>
    </w:rPr>
  </w:style>
  <w:style w:type="character" w:styleId="BookTitle">
    <w:name w:val="Book Title"/>
    <w:basedOn w:val="DefaultParagraphFont"/>
    <w:uiPriority w:val="33"/>
    <w:rsid w:val="001B29F9"/>
    <w:rPr>
      <w:rFonts w:ascii="Calibri" w:eastAsiaTheme="majorEastAsia" w:hAnsi="Calibri"/>
      <w:b/>
      <w:i/>
      <w:sz w:val="24"/>
      <w:szCs w:val="24"/>
    </w:rPr>
  </w:style>
  <w:style w:type="paragraph" w:customStyle="1" w:styleId="Szvegdobozstlus">
    <w:name w:val="Szövegdoboz stílus"/>
    <w:basedOn w:val="HierarchikusLista0"/>
    <w:qFormat/>
    <w:rsid w:val="001B29F9"/>
    <w:rPr>
      <w:b/>
      <w:i/>
      <w:color w:val="808080" w:themeColor="accent1"/>
    </w:rPr>
  </w:style>
  <w:style w:type="table" w:customStyle="1" w:styleId="Rcsos">
    <w:name w:val="Rácsos"/>
    <w:basedOn w:val="TableNormal"/>
    <w:uiPriority w:val="99"/>
    <w:rsid w:val="001B29F9"/>
    <w:pPr>
      <w:spacing w:after="0" w:line="240" w:lineRule="auto"/>
    </w:pPr>
    <w:rPr>
      <w:rFonts w:asciiTheme="majorHAnsi" w:hAnsiTheme="majorHAnsi"/>
      <w:color w:val="00A3AE" w:themeColor="accent5"/>
      <w:sz w:val="20"/>
      <w:lang w:bidi="ar-SA"/>
    </w:rPr>
    <w:tblPr>
      <w:tblStyleRowBandSize w:val="1"/>
      <w:tblStyleColBandSize w:val="1"/>
      <w:tblBorders>
        <w:top w:val="single" w:sz="4" w:space="0" w:color="00A3AE" w:themeColor="accent5"/>
        <w:left w:val="single" w:sz="4" w:space="0" w:color="00A3AE" w:themeColor="accent5"/>
        <w:bottom w:val="single" w:sz="48" w:space="0" w:color="00A3AE" w:themeColor="accent5"/>
        <w:right w:val="single" w:sz="4" w:space="0" w:color="00A3AE" w:themeColor="accent5"/>
        <w:insideV w:val="single" w:sz="4" w:space="0" w:color="00A3AE" w:themeColor="accent5"/>
      </w:tblBorders>
    </w:tblPr>
    <w:tcPr>
      <w:shd w:val="clear" w:color="auto" w:fill="auto"/>
      <w:tcMar>
        <w:top w:w="170" w:type="dxa"/>
      </w:tcMar>
      <w:vAlign w:val="center"/>
    </w:tcPr>
    <w:tblStylePr w:type="firstRow">
      <w:rPr>
        <w:rFonts w:asciiTheme="majorHAnsi" w:hAnsiTheme="majorHAnsi"/>
        <w:b w:val="0"/>
        <w:i w:val="0"/>
        <w:color w:val="00A3AE" w:themeColor="accent5"/>
        <w:sz w:val="36"/>
      </w:rPr>
      <w:tblPr/>
      <w:tcPr>
        <w:tcBorders>
          <w:top w:val="single" w:sz="8" w:space="0" w:color="00A3AE" w:themeColor="accent5"/>
          <w:left w:val="single" w:sz="8" w:space="0" w:color="00A3AE" w:themeColor="accent5"/>
          <w:bottom w:val="single" w:sz="24" w:space="0" w:color="00A3AE" w:themeColor="accent5"/>
          <w:right w:val="single" w:sz="8" w:space="0" w:color="00A3AE" w:themeColor="accent5"/>
          <w:insideH w:val="nil"/>
          <w:insideV w:val="nil"/>
          <w:tl2br w:val="nil"/>
          <w:tr2bl w:val="nil"/>
        </w:tcBorders>
        <w:shd w:val="clear" w:color="auto" w:fill="646464" w:themeFill="background2"/>
      </w:tcPr>
    </w:tblStylePr>
    <w:tblStylePr w:type="band2Horz">
      <w:tblPr/>
      <w:tcPr>
        <w:shd w:val="clear" w:color="auto" w:fill="A2A2A2" w:themeFill="background2" w:themeFillTint="99"/>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hu-HU" w:bidi="hu-HU"/>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footnote text" w:qFormat="1"/>
    <w:lsdException w:name="caption" w:uiPriority="35" w:qFormat="1"/>
    <w:lsdException w:name="endnote reference" w:uiPriority="0"/>
    <w:lsdException w:name="Title" w:semiHidden="0" w:uiPriority="3" w:unhideWhenUsed="0" w:qFormat="1"/>
    <w:lsdException w:name="Default Paragraph Font" w:uiPriority="1"/>
    <w:lsdException w:name="Subtitle" w:semiHidden="0" w:uiPriority="11" w:unhideWhenUsed="0"/>
    <w:lsdException w:name="Strong" w:semiHidden="0" w:uiPriority="22" w:unhideWhenUsed="0"/>
    <w:lsdException w:name="Emphasis" w:semiHidden="0" w:uiPriority="6"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74FEF"/>
    <w:pPr>
      <w:spacing w:after="0"/>
    </w:pPr>
    <w:rPr>
      <w:rFonts w:ascii="EYInterstate Light" w:hAnsi="EYInterstate Light"/>
    </w:rPr>
  </w:style>
  <w:style w:type="paragraph" w:styleId="Heading1">
    <w:name w:val="heading 1"/>
    <w:basedOn w:val="Normal"/>
    <w:next w:val="Normal"/>
    <w:link w:val="Heading1Char"/>
    <w:uiPriority w:val="1"/>
    <w:qFormat/>
    <w:rsid w:val="00774FEF"/>
    <w:pPr>
      <w:keepNext/>
      <w:keepLines/>
      <w:spacing w:before="320"/>
      <w:outlineLvl w:val="0"/>
    </w:pPr>
    <w:rPr>
      <w:rFonts w:asciiTheme="majorHAnsi" w:eastAsiaTheme="majorEastAsia" w:hAnsiTheme="majorHAnsi" w:cstheme="majorBidi"/>
      <w:b/>
      <w:bCs/>
      <w:color w:val="808080" w:themeColor="accent1"/>
      <w:sz w:val="32"/>
      <w:szCs w:val="28"/>
    </w:rPr>
  </w:style>
  <w:style w:type="paragraph" w:styleId="Heading2">
    <w:name w:val="heading 2"/>
    <w:basedOn w:val="Normal"/>
    <w:next w:val="Normal"/>
    <w:link w:val="Heading2Char"/>
    <w:uiPriority w:val="1"/>
    <w:unhideWhenUsed/>
    <w:qFormat/>
    <w:rsid w:val="00774FEF"/>
    <w:pPr>
      <w:keepNext/>
      <w:keepLines/>
      <w:spacing w:before="80"/>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1"/>
    <w:unhideWhenUsed/>
    <w:qFormat/>
    <w:rsid w:val="00774FEF"/>
    <w:pPr>
      <w:keepNext/>
      <w:keepLines/>
      <w:spacing w:before="120"/>
      <w:outlineLvl w:val="2"/>
    </w:pPr>
    <w:rPr>
      <w:rFonts w:asciiTheme="majorHAnsi" w:eastAsiaTheme="majorEastAsia" w:hAnsiTheme="majorHAnsi" w:cstheme="majorBidi"/>
      <w:b/>
      <w:bCs/>
      <w:color w:val="808080" w:themeColor="accent1"/>
    </w:rPr>
  </w:style>
  <w:style w:type="paragraph" w:styleId="Heading4">
    <w:name w:val="heading 4"/>
    <w:basedOn w:val="Normal"/>
    <w:next w:val="Normal"/>
    <w:link w:val="Heading4Char"/>
    <w:uiPriority w:val="1"/>
    <w:unhideWhenUsed/>
    <w:qFormat/>
    <w:rsid w:val="00774FEF"/>
    <w:pPr>
      <w:keepNext/>
      <w:keepLines/>
      <w:spacing w:before="200" w:after="200"/>
      <w:outlineLvl w:val="3"/>
    </w:pPr>
    <w:rPr>
      <w:rFonts w:asciiTheme="majorHAnsi" w:eastAsiaTheme="majorEastAsia" w:hAnsiTheme="majorHAnsi" w:cstheme="majorBidi"/>
      <w:b/>
      <w:bCs/>
      <w:i/>
      <w:iCs/>
      <w:color w:val="808080" w:themeColor="accent1"/>
    </w:rPr>
  </w:style>
  <w:style w:type="paragraph" w:styleId="Heading5">
    <w:name w:val="heading 5"/>
    <w:basedOn w:val="Normal"/>
    <w:next w:val="Normal"/>
    <w:link w:val="Heading5Char"/>
    <w:uiPriority w:val="1"/>
    <w:unhideWhenUsed/>
    <w:qFormat/>
    <w:rsid w:val="00387FA4"/>
    <w:pPr>
      <w:keepNext/>
      <w:keepLines/>
      <w:spacing w:before="200"/>
      <w:outlineLvl w:val="4"/>
    </w:pPr>
    <w:rPr>
      <w:rFonts w:asciiTheme="majorHAnsi" w:eastAsiaTheme="majorEastAsia" w:hAnsiTheme="majorHAnsi" w:cstheme="majorBidi"/>
      <w:color w:val="3F3F3F" w:themeColor="accent1" w:themeShade="7F"/>
      <w:sz w:val="20"/>
    </w:rPr>
  </w:style>
  <w:style w:type="paragraph" w:styleId="Heading6">
    <w:name w:val="heading 6"/>
    <w:basedOn w:val="Normal"/>
    <w:next w:val="Normal"/>
    <w:link w:val="Heading6Char"/>
    <w:uiPriority w:val="1"/>
    <w:unhideWhenUsed/>
    <w:qFormat/>
    <w:rsid w:val="00DB2039"/>
    <w:pPr>
      <w:keepNext/>
      <w:keepLines/>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link w:val="Heading7Char"/>
    <w:uiPriority w:val="9"/>
    <w:qFormat/>
    <w:rsid w:val="00C621D9"/>
    <w:pPr>
      <w:tabs>
        <w:tab w:val="num" w:pos="4320"/>
      </w:tabs>
      <w:spacing w:after="180" w:line="240" w:lineRule="auto"/>
      <w:ind w:left="4320" w:hanging="720"/>
      <w:jc w:val="both"/>
      <w:outlineLvl w:val="6"/>
    </w:pPr>
    <w:rPr>
      <w:rFonts w:ascii="Times New Roman" w:eastAsia="MS Mincho" w:hAnsi="Times New Roman" w:cs="Times New Roman"/>
    </w:rPr>
  </w:style>
  <w:style w:type="paragraph" w:styleId="Heading8">
    <w:name w:val="heading 8"/>
    <w:basedOn w:val="Normal"/>
    <w:next w:val="Normal"/>
    <w:link w:val="Heading8Char"/>
    <w:uiPriority w:val="9"/>
    <w:semiHidden/>
    <w:unhideWhenUsed/>
    <w:qFormat/>
    <w:rsid w:val="00387FA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87FA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4FE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06D2"/>
    <w:rPr>
      <w:rFonts w:ascii="Tahoma" w:hAnsi="Tahoma" w:cs="Tahoma"/>
      <w:sz w:val="16"/>
      <w:szCs w:val="16"/>
    </w:rPr>
  </w:style>
  <w:style w:type="paragraph" w:customStyle="1" w:styleId="TASAnnotationnumber">
    <w:name w:val="TAS Annotation number"/>
    <w:basedOn w:val="TASBodytext"/>
    <w:rsid w:val="00774FEF"/>
    <w:pPr>
      <w:jc w:val="right"/>
    </w:pPr>
    <w:rPr>
      <w:b/>
      <w:sz w:val="24"/>
    </w:rPr>
  </w:style>
  <w:style w:type="paragraph" w:customStyle="1" w:styleId="TASAnnotationtext">
    <w:name w:val="TAS Annotation text"/>
    <w:basedOn w:val="TASBodytext"/>
    <w:rsid w:val="00774FEF"/>
    <w:pPr>
      <w:spacing w:after="0"/>
      <w:jc w:val="left"/>
    </w:pPr>
    <w:rPr>
      <w:sz w:val="16"/>
    </w:rPr>
  </w:style>
  <w:style w:type="numbering" w:customStyle="1" w:styleId="TASBulletliststyle">
    <w:name w:val="TAS Bullet list style"/>
    <w:uiPriority w:val="99"/>
    <w:rsid w:val="00774FEF"/>
    <w:pPr>
      <w:numPr>
        <w:numId w:val="54"/>
      </w:numPr>
    </w:pPr>
  </w:style>
  <w:style w:type="numbering" w:customStyle="1" w:styleId="TASBulletnumberlist">
    <w:name w:val="TAS Bullet number list"/>
    <w:uiPriority w:val="99"/>
    <w:rsid w:val="00774FEF"/>
    <w:pPr>
      <w:numPr>
        <w:numId w:val="1"/>
      </w:numPr>
    </w:pPr>
  </w:style>
  <w:style w:type="paragraph" w:customStyle="1" w:styleId="TASCustomtablehead">
    <w:name w:val="TAS Custom table head"/>
    <w:basedOn w:val="Normal"/>
    <w:rsid w:val="007F325B"/>
    <w:pPr>
      <w:spacing w:before="60" w:after="60"/>
    </w:pPr>
    <w:rPr>
      <w:rFonts w:eastAsia="MS Mincho" w:cs="Arial"/>
      <w:color w:val="FFFFFF" w:themeColor="text2"/>
      <w:szCs w:val="20"/>
    </w:rPr>
  </w:style>
  <w:style w:type="paragraph" w:customStyle="1" w:styleId="TASFooterconfidential">
    <w:name w:val="TAS Footer confidential"/>
    <w:basedOn w:val="TASFooter"/>
    <w:rsid w:val="00774FEF"/>
    <w:pPr>
      <w:framePr w:wrap="around" w:vAnchor="page" w:hAnchor="page" w:xAlign="center" w:y="15927" w:anchorLock="1"/>
      <w:jc w:val="center"/>
    </w:pPr>
  </w:style>
  <w:style w:type="character" w:customStyle="1" w:styleId="Heading1Char">
    <w:name w:val="Heading 1 Char"/>
    <w:basedOn w:val="DefaultParagraphFont"/>
    <w:link w:val="Heading1"/>
    <w:uiPriority w:val="1"/>
    <w:rsid w:val="00F46719"/>
    <w:rPr>
      <w:rFonts w:asciiTheme="majorHAnsi" w:eastAsiaTheme="majorEastAsia" w:hAnsiTheme="majorHAnsi" w:cstheme="majorBidi"/>
      <w:b/>
      <w:bCs/>
      <w:color w:val="808080" w:themeColor="accent1"/>
      <w:sz w:val="32"/>
      <w:szCs w:val="28"/>
    </w:rPr>
  </w:style>
  <w:style w:type="character" w:customStyle="1" w:styleId="Heading2Char">
    <w:name w:val="Heading 2 Char"/>
    <w:basedOn w:val="DefaultParagraphFont"/>
    <w:link w:val="Heading2"/>
    <w:uiPriority w:val="1"/>
    <w:rsid w:val="00F46719"/>
    <w:rPr>
      <w:rFonts w:asciiTheme="majorHAnsi" w:eastAsiaTheme="majorEastAsia" w:hAnsiTheme="majorHAnsi" w:cstheme="majorBidi"/>
      <w:b/>
      <w:bCs/>
      <w:szCs w:val="26"/>
    </w:rPr>
  </w:style>
  <w:style w:type="character" w:customStyle="1" w:styleId="Heading3Char">
    <w:name w:val="Heading 3 Char"/>
    <w:basedOn w:val="DefaultParagraphFont"/>
    <w:link w:val="Heading3"/>
    <w:uiPriority w:val="1"/>
    <w:rsid w:val="00F46719"/>
    <w:rPr>
      <w:rFonts w:asciiTheme="majorHAnsi" w:eastAsiaTheme="majorEastAsia" w:hAnsiTheme="majorHAnsi" w:cstheme="majorBidi"/>
      <w:b/>
      <w:bCs/>
      <w:color w:val="808080" w:themeColor="accent1"/>
    </w:rPr>
  </w:style>
  <w:style w:type="character" w:customStyle="1" w:styleId="Heading4Char">
    <w:name w:val="Heading 4 Char"/>
    <w:basedOn w:val="DefaultParagraphFont"/>
    <w:link w:val="Heading4"/>
    <w:uiPriority w:val="1"/>
    <w:rsid w:val="00F46719"/>
    <w:rPr>
      <w:rFonts w:asciiTheme="majorHAnsi" w:eastAsiaTheme="majorEastAsia" w:hAnsiTheme="majorHAnsi" w:cstheme="majorBidi"/>
      <w:b/>
      <w:bCs/>
      <w:i/>
      <w:iCs/>
      <w:color w:val="808080" w:themeColor="accent1"/>
    </w:rPr>
  </w:style>
  <w:style w:type="paragraph" w:customStyle="1" w:styleId="TASFooterconfidentialA4port">
    <w:name w:val="TAS Footer confidential A4 port"/>
    <w:basedOn w:val="TASFooterconfidential"/>
    <w:rsid w:val="00774FEF"/>
    <w:pPr>
      <w:framePr w:w="3211" w:wrap="around"/>
    </w:pPr>
  </w:style>
  <w:style w:type="paragraph" w:customStyle="1" w:styleId="TASFooterdatefield">
    <w:name w:val="TAS Footer date field"/>
    <w:basedOn w:val="TASFooter"/>
    <w:next w:val="TASBodytext"/>
    <w:rsid w:val="00774FEF"/>
    <w:pPr>
      <w:framePr w:w="3600" w:hSpace="187" w:wrap="around" w:vAnchor="page" w:hAnchor="page" w:x="1441" w:y="11003" w:anchorLock="1"/>
    </w:pPr>
    <w:rPr>
      <w:szCs w:val="16"/>
    </w:rPr>
  </w:style>
  <w:style w:type="table" w:styleId="TableGrid">
    <w:name w:val="Table Grid"/>
    <w:aliases w:val="Szegély nélküli"/>
    <w:basedOn w:val="TableNormal"/>
    <w:uiPriority w:val="59"/>
    <w:rsid w:val="00774F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SNormal">
    <w:name w:val="TAS Normal"/>
    <w:rsid w:val="00774FEF"/>
    <w:pPr>
      <w:spacing w:after="0" w:line="240" w:lineRule="auto"/>
    </w:pPr>
    <w:rPr>
      <w:rFonts w:ascii="Arial" w:eastAsia="MS Mincho" w:hAnsi="Arial" w:cs="Arial"/>
      <w:sz w:val="20"/>
      <w:szCs w:val="20"/>
    </w:rPr>
  </w:style>
  <w:style w:type="paragraph" w:customStyle="1" w:styleId="TASBodytext">
    <w:name w:val="TAS Body text"/>
    <w:basedOn w:val="TASNormal"/>
    <w:qFormat/>
    <w:rsid w:val="00774FEF"/>
    <w:pPr>
      <w:spacing w:after="120"/>
      <w:jc w:val="both"/>
    </w:pPr>
  </w:style>
  <w:style w:type="paragraph" w:customStyle="1" w:styleId="TASBoilerplateheading">
    <w:name w:val="TAS Boilerplate heading"/>
    <w:basedOn w:val="TASNormal"/>
    <w:rsid w:val="00774FEF"/>
  </w:style>
  <w:style w:type="paragraph" w:customStyle="1" w:styleId="TASBoilerplatetext">
    <w:name w:val="TAS Boilerplate text"/>
    <w:basedOn w:val="TASNormal"/>
    <w:rsid w:val="00774FEF"/>
    <w:rPr>
      <w:sz w:val="16"/>
      <w:szCs w:val="16"/>
    </w:rPr>
  </w:style>
  <w:style w:type="paragraph" w:customStyle="1" w:styleId="TASBullet1">
    <w:name w:val="TAS Bullet 1"/>
    <w:basedOn w:val="TASNormal"/>
    <w:uiPriority w:val="99"/>
    <w:qFormat/>
    <w:rsid w:val="00774FEF"/>
    <w:pPr>
      <w:numPr>
        <w:numId w:val="7"/>
      </w:numPr>
      <w:spacing w:after="120"/>
      <w:jc w:val="both"/>
    </w:pPr>
  </w:style>
  <w:style w:type="paragraph" w:customStyle="1" w:styleId="TASBullet2">
    <w:name w:val="TAS Bullet 2"/>
    <w:basedOn w:val="TASNormal"/>
    <w:uiPriority w:val="99"/>
    <w:qFormat/>
    <w:rsid w:val="00774FEF"/>
    <w:pPr>
      <w:numPr>
        <w:ilvl w:val="1"/>
        <w:numId w:val="7"/>
      </w:numPr>
      <w:spacing w:after="120"/>
      <w:jc w:val="both"/>
    </w:pPr>
  </w:style>
  <w:style w:type="paragraph" w:customStyle="1" w:styleId="TASBulletnumber">
    <w:name w:val="TAS Bullet number"/>
    <w:basedOn w:val="TASBodytext"/>
    <w:rsid w:val="00774FEF"/>
    <w:pPr>
      <w:numPr>
        <w:numId w:val="8"/>
      </w:numPr>
    </w:pPr>
    <w:rPr>
      <w:rFonts w:eastAsiaTheme="minorHAnsi"/>
      <w:szCs w:val="28"/>
    </w:rPr>
  </w:style>
  <w:style w:type="paragraph" w:customStyle="1" w:styleId="TASCaption">
    <w:name w:val="TAS Caption"/>
    <w:basedOn w:val="TASBodytext"/>
    <w:rsid w:val="00774FEF"/>
    <w:pPr>
      <w:jc w:val="center"/>
    </w:pPr>
    <w:rPr>
      <w:rFonts w:eastAsiaTheme="minorHAnsi"/>
      <w:sz w:val="16"/>
      <w:szCs w:val="16"/>
    </w:rPr>
  </w:style>
  <w:style w:type="paragraph" w:customStyle="1" w:styleId="TASContactinfo">
    <w:name w:val="TAS Contact info"/>
    <w:basedOn w:val="TASBodytext"/>
    <w:rsid w:val="00774FEF"/>
    <w:pPr>
      <w:spacing w:before="20" w:after="20"/>
    </w:pPr>
    <w:rPr>
      <w:rFonts w:eastAsiaTheme="minorHAnsi"/>
      <w:sz w:val="16"/>
      <w:szCs w:val="16"/>
    </w:rPr>
  </w:style>
  <w:style w:type="paragraph" w:customStyle="1" w:styleId="TASCoverdraft">
    <w:name w:val="TAS Cover draft"/>
    <w:basedOn w:val="TASBodytext"/>
    <w:next w:val="TASBodytext"/>
    <w:rsid w:val="00774FEF"/>
    <w:rPr>
      <w:rFonts w:eastAsiaTheme="minorHAnsi"/>
      <w:b/>
      <w:bCs/>
      <w:color w:val="808080" w:themeColor="accent1"/>
      <w:sz w:val="24"/>
      <w:szCs w:val="24"/>
    </w:rPr>
  </w:style>
  <w:style w:type="table" w:customStyle="1" w:styleId="TASCustomtable">
    <w:name w:val="TAS Custom table"/>
    <w:basedOn w:val="TableNormal"/>
    <w:uiPriority w:val="99"/>
    <w:qFormat/>
    <w:rsid w:val="00774FEF"/>
    <w:pPr>
      <w:spacing w:before="20" w:after="20"/>
    </w:pPr>
    <w:rPr>
      <w:rFonts w:ascii="Arial" w:hAnsi="Arial"/>
      <w:sz w:val="20"/>
      <w:szCs w:val="20"/>
    </w:rPr>
    <w:tblPr>
      <w:tblStyleRowBandSize w:val="1"/>
      <w:tblBorders>
        <w:top w:val="single" w:sz="12" w:space="0" w:color="FFFFFF" w:themeColor="text2"/>
        <w:left w:val="single" w:sz="12" w:space="0" w:color="FFFFFF" w:themeColor="text2"/>
        <w:bottom w:val="single" w:sz="12" w:space="0" w:color="FFFFFF" w:themeColor="text2"/>
        <w:right w:val="single" w:sz="12" w:space="0" w:color="FFFFFF" w:themeColor="text2"/>
        <w:insideH w:val="single" w:sz="12" w:space="0" w:color="FFFFFF" w:themeColor="text2"/>
        <w:insideV w:val="single" w:sz="12" w:space="0" w:color="FFFFFF" w:themeColor="text2"/>
      </w:tblBorders>
      <w:tblCellMar>
        <w:top w:w="43" w:type="dxa"/>
        <w:left w:w="115" w:type="dxa"/>
        <w:bottom w:w="43" w:type="dxa"/>
        <w:right w:w="115" w:type="dxa"/>
      </w:tblCellMar>
    </w:tblPr>
    <w:tcPr>
      <w:shd w:val="clear" w:color="auto" w:fill="E5E5E5" w:themeFill="accent1" w:themeFillTint="33"/>
    </w:tcPr>
    <w:tblStylePr w:type="firstRow">
      <w:pPr>
        <w:wordWrap/>
        <w:spacing w:beforeLines="0" w:beforeAutospacing="0" w:afterLines="0" w:afterAutospacing="0" w:line="240" w:lineRule="auto"/>
      </w:pPr>
      <w:rPr>
        <w:rFonts w:ascii="Arial" w:hAnsi="Arial"/>
        <w:b/>
        <w:bCs/>
        <w:color w:val="FFFFFF" w:themeColor="text2"/>
        <w:sz w:val="20"/>
      </w:rPr>
      <w:tblPr/>
      <w:trPr>
        <w:tblHeader/>
      </w:trPr>
      <w:tcPr>
        <w:tcBorders>
          <w:top w:val="single" w:sz="12" w:space="0" w:color="FFFFFF" w:themeColor="text2"/>
          <w:left w:val="single" w:sz="12" w:space="0" w:color="FFFFFF" w:themeColor="text2"/>
          <w:bottom w:val="single" w:sz="12" w:space="0" w:color="FFFFFF" w:themeColor="text2"/>
          <w:right w:val="single" w:sz="12" w:space="0" w:color="FFFFFF" w:themeColor="text2"/>
          <w:insideH w:val="single" w:sz="12" w:space="0" w:color="FFFFFF" w:themeColor="text2"/>
          <w:insideV w:val="single" w:sz="12" w:space="0" w:color="FFFFFF" w:themeColor="text2"/>
        </w:tcBorders>
        <w:shd w:val="clear" w:color="auto" w:fill="999999" w:themeFill="accent3"/>
        <w:vAlign w:val="bottom"/>
      </w:tcPr>
    </w:tblStylePr>
    <w:tblStylePr w:type="lastRow">
      <w:pPr>
        <w:spacing w:before="0" w:after="0" w:line="240" w:lineRule="auto"/>
      </w:pPr>
      <w:rPr>
        <w:rFonts w:ascii="Arial" w:hAnsi="Arial"/>
        <w:b w:val="0"/>
        <w:bCs/>
        <w:color w:val="auto"/>
        <w:sz w:val="20"/>
      </w:rPr>
      <w:tblPr/>
      <w:tcPr>
        <w:tcBorders>
          <w:top w:val="nil"/>
          <w:left w:val="nil"/>
          <w:bottom w:val="nil"/>
          <w:right w:val="nil"/>
          <w:insideH w:val="nil"/>
          <w:insideV w:val="nil"/>
        </w:tcBorders>
        <w:shd w:val="clear" w:color="auto" w:fill="F0F0F0" w:themeFill="accent4"/>
      </w:tcPr>
    </w:tblStylePr>
    <w:tblStylePr w:type="firstCol">
      <w:pPr>
        <w:wordWrap/>
        <w:jc w:val="left"/>
        <w:outlineLvl w:val="9"/>
      </w:pPr>
      <w:rPr>
        <w:rFonts w:ascii="Arial" w:hAnsi="Arial"/>
        <w:b w:val="0"/>
        <w:bCs/>
        <w:sz w:val="20"/>
      </w:rPr>
    </w:tblStylePr>
    <w:tblStylePr w:type="lastCol">
      <w:pPr>
        <w:wordWrap/>
        <w:spacing w:beforeLines="0" w:beforeAutospacing="0" w:afterLines="0" w:afterAutospacing="0" w:line="240" w:lineRule="auto"/>
        <w:jc w:val="right"/>
      </w:pPr>
      <w:rPr>
        <w:b w:val="0"/>
        <w:bCs/>
      </w:rPr>
    </w:tblStylePr>
    <w:tblStylePr w:type="band1Vert">
      <w:tblPr/>
      <w:tcPr>
        <w:tcBorders>
          <w:left w:val="nil"/>
          <w:right w:val="nil"/>
          <w:insideH w:val="nil"/>
          <w:insideV w:val="nil"/>
        </w:tcBorders>
        <w:shd w:val="clear" w:color="auto" w:fill="FBFBFB" w:themeFill="accent4" w:themeFillTint="3F"/>
      </w:tcPr>
    </w:tblStylePr>
    <w:tblStylePr w:type="band1Horz">
      <w:rPr>
        <w:rFonts w:ascii="Arial" w:hAnsi="Arial"/>
        <w:color w:val="auto"/>
        <w:sz w:val="20"/>
      </w:rPr>
      <w:tblPr/>
      <w:tcPr>
        <w:tcBorders>
          <w:top w:val="single" w:sz="12" w:space="0" w:color="FFFFFF" w:themeColor="text2"/>
          <w:left w:val="single" w:sz="12" w:space="0" w:color="FFFFFF" w:themeColor="text2"/>
          <w:bottom w:val="single" w:sz="12" w:space="0" w:color="FFFFFF" w:themeColor="text2"/>
          <w:right w:val="single" w:sz="12" w:space="0" w:color="FFFFFF" w:themeColor="text2"/>
          <w:insideH w:val="single" w:sz="12" w:space="0" w:color="FFFFFF" w:themeColor="text2"/>
          <w:insideV w:val="single" w:sz="12" w:space="0" w:color="FFFFFF" w:themeColor="text2"/>
        </w:tcBorders>
        <w:shd w:val="clear" w:color="auto" w:fill="F0F0F0" w:themeFill="accent4"/>
      </w:tcPr>
    </w:tblStylePr>
    <w:tblStylePr w:type="band2Horz">
      <w:rPr>
        <w:rFonts w:ascii="Arial" w:hAnsi="Arial"/>
        <w:color w:val="auto"/>
        <w:sz w:val="20"/>
      </w:rPr>
      <w:tblPr/>
      <w:tcPr>
        <w:tcBorders>
          <w:top w:val="single" w:sz="12" w:space="0" w:color="FFFFFF" w:themeColor="text2"/>
          <w:left w:val="single" w:sz="12" w:space="0" w:color="FFFFFF" w:themeColor="text2"/>
          <w:bottom w:val="single" w:sz="12" w:space="0" w:color="FFFFFF" w:themeColor="text2"/>
          <w:right w:val="single" w:sz="12" w:space="0" w:color="FFFFFF" w:themeColor="text2"/>
          <w:insideH w:val="single" w:sz="12" w:space="0" w:color="FFFFFF" w:themeColor="text2"/>
          <w:insideV w:val="single" w:sz="12" w:space="0" w:color="FFFFFF" w:themeColor="text2"/>
        </w:tcBorders>
        <w:shd w:val="clear" w:color="auto" w:fill="D8D8D8" w:themeFill="accent4" w:themeFillShade="E6"/>
      </w:tcPr>
    </w:tblStylePr>
  </w:style>
  <w:style w:type="table" w:customStyle="1" w:styleId="TASCustomtable2">
    <w:name w:val="TAS Custom table 2"/>
    <w:basedOn w:val="TASCustomtable"/>
    <w:uiPriority w:val="99"/>
    <w:qFormat/>
    <w:rsid w:val="00774FEF"/>
    <w:pPr>
      <w:spacing w:after="0"/>
    </w:pPr>
    <w:tblPr>
      <w:tblBorders>
        <w:top w:val="single" w:sz="6" w:space="0" w:color="808080" w:themeColor="accent1"/>
        <w:left w:val="single" w:sz="6" w:space="0" w:color="808080" w:themeColor="accent1"/>
        <w:bottom w:val="single" w:sz="6" w:space="0" w:color="808080" w:themeColor="accent1"/>
        <w:right w:val="single" w:sz="6" w:space="0" w:color="808080" w:themeColor="accent1"/>
        <w:insideH w:val="single" w:sz="6" w:space="0" w:color="808080" w:themeColor="accent1"/>
        <w:insideV w:val="single" w:sz="6" w:space="0" w:color="808080" w:themeColor="accent1"/>
      </w:tblBorders>
    </w:tblPr>
    <w:tcPr>
      <w:shd w:val="clear" w:color="auto" w:fill="E5E5E5" w:themeFill="accent1" w:themeFillTint="33"/>
    </w:tcPr>
    <w:tblStylePr w:type="firstRow">
      <w:pPr>
        <w:wordWrap/>
        <w:spacing w:beforeLines="0" w:beforeAutospacing="0" w:afterLines="0" w:afterAutospacing="0" w:line="240" w:lineRule="auto"/>
      </w:pPr>
      <w:rPr>
        <w:rFonts w:ascii="Arial" w:hAnsi="Arial"/>
        <w:b/>
        <w:bCs/>
        <w:color w:val="FFFFFF" w:themeColor="text2"/>
        <w:sz w:val="20"/>
      </w:rPr>
      <w:tblPr/>
      <w:trPr>
        <w:tblHeader/>
      </w:trPr>
      <w:tcPr>
        <w:tcBorders>
          <w:top w:val="single" w:sz="6" w:space="0" w:color="808080" w:themeColor="accent1"/>
          <w:left w:val="single" w:sz="6" w:space="0" w:color="808080" w:themeColor="accent1"/>
          <w:bottom w:val="single" w:sz="6" w:space="0" w:color="808080" w:themeColor="accent1"/>
          <w:right w:val="single" w:sz="6" w:space="0" w:color="808080" w:themeColor="accent1"/>
          <w:insideH w:val="single" w:sz="6" w:space="0" w:color="808080" w:themeColor="accent1"/>
          <w:insideV w:val="single" w:sz="6" w:space="0" w:color="808080" w:themeColor="accent1"/>
        </w:tcBorders>
        <w:shd w:val="clear" w:color="auto" w:fill="999999" w:themeFill="accent3"/>
        <w:vAlign w:val="bottom"/>
      </w:tcPr>
    </w:tblStylePr>
    <w:tblStylePr w:type="lastRow">
      <w:pPr>
        <w:spacing w:before="0" w:after="0" w:line="240" w:lineRule="auto"/>
      </w:pPr>
      <w:rPr>
        <w:rFonts w:ascii="Arial" w:hAnsi="Arial"/>
        <w:b w:val="0"/>
        <w:bCs/>
        <w:color w:val="auto"/>
        <w:sz w:val="20"/>
      </w:rPr>
      <w:tblPr/>
      <w:tcPr>
        <w:tcBorders>
          <w:top w:val="single" w:sz="6" w:space="0" w:color="808080" w:themeColor="accent1"/>
          <w:left w:val="single" w:sz="6" w:space="0" w:color="808080" w:themeColor="accent1"/>
          <w:bottom w:val="single" w:sz="6" w:space="0" w:color="808080" w:themeColor="accent1"/>
          <w:right w:val="single" w:sz="6" w:space="0" w:color="808080" w:themeColor="accent1"/>
          <w:insideH w:val="single" w:sz="6" w:space="0" w:color="808080" w:themeColor="accent1"/>
          <w:insideV w:val="single" w:sz="6" w:space="0" w:color="808080" w:themeColor="accent1"/>
        </w:tcBorders>
        <w:shd w:val="clear" w:color="auto" w:fill="F0F0F0" w:themeFill="accent4"/>
      </w:tcPr>
    </w:tblStylePr>
    <w:tblStylePr w:type="firstCol">
      <w:pPr>
        <w:wordWrap/>
        <w:jc w:val="left"/>
        <w:outlineLvl w:val="9"/>
      </w:pPr>
      <w:rPr>
        <w:rFonts w:ascii="Arial" w:hAnsi="Arial"/>
        <w:b w:val="0"/>
        <w:bCs/>
        <w:sz w:val="20"/>
      </w:rPr>
    </w:tblStylePr>
    <w:tblStylePr w:type="lastCol">
      <w:pPr>
        <w:wordWrap/>
        <w:spacing w:beforeLines="0" w:beforeAutospacing="0" w:afterLines="0" w:afterAutospacing="0" w:line="240" w:lineRule="auto"/>
        <w:jc w:val="right"/>
      </w:pPr>
      <w:rPr>
        <w:b w:val="0"/>
        <w:bCs/>
      </w:rPr>
    </w:tblStylePr>
    <w:tblStylePr w:type="band1Vert">
      <w:tblPr/>
      <w:tcPr>
        <w:tcBorders>
          <w:left w:val="nil"/>
          <w:right w:val="nil"/>
          <w:insideH w:val="nil"/>
          <w:insideV w:val="nil"/>
        </w:tcBorders>
        <w:shd w:val="clear" w:color="auto" w:fill="FBFBFB" w:themeFill="accent4" w:themeFillTint="3F"/>
      </w:tcPr>
    </w:tblStylePr>
    <w:tblStylePr w:type="band1Horz">
      <w:rPr>
        <w:rFonts w:ascii="Arial" w:hAnsi="Arial"/>
        <w:color w:val="auto"/>
        <w:sz w:val="20"/>
      </w:rPr>
      <w:tblPr/>
      <w:tcPr>
        <w:tcBorders>
          <w:top w:val="single" w:sz="6" w:space="0" w:color="808080" w:themeColor="accent1"/>
          <w:left w:val="single" w:sz="6" w:space="0" w:color="808080" w:themeColor="accent1"/>
          <w:bottom w:val="single" w:sz="6" w:space="0" w:color="808080" w:themeColor="accent1"/>
          <w:right w:val="single" w:sz="6" w:space="0" w:color="808080" w:themeColor="accent1"/>
          <w:insideH w:val="single" w:sz="6" w:space="0" w:color="808080" w:themeColor="accent1"/>
          <w:insideV w:val="single" w:sz="6" w:space="0" w:color="808080" w:themeColor="accent1"/>
        </w:tcBorders>
        <w:shd w:val="clear" w:color="auto" w:fill="F0F0F0" w:themeFill="accent4"/>
      </w:tcPr>
    </w:tblStylePr>
    <w:tblStylePr w:type="band2Horz">
      <w:rPr>
        <w:rFonts w:ascii="Arial" w:hAnsi="Arial"/>
        <w:color w:val="auto"/>
        <w:sz w:val="20"/>
      </w:rPr>
      <w:tblPr/>
      <w:tcPr>
        <w:tcBorders>
          <w:top w:val="single" w:sz="6" w:space="0" w:color="808080" w:themeColor="accent1"/>
          <w:left w:val="single" w:sz="6" w:space="0" w:color="808080" w:themeColor="accent1"/>
          <w:bottom w:val="single" w:sz="6" w:space="0" w:color="808080" w:themeColor="accent1"/>
          <w:right w:val="single" w:sz="6" w:space="0" w:color="808080" w:themeColor="accent1"/>
          <w:insideH w:val="single" w:sz="6" w:space="0" w:color="808080" w:themeColor="accent1"/>
          <w:insideV w:val="single" w:sz="6" w:space="0" w:color="808080" w:themeColor="accent1"/>
        </w:tcBorders>
        <w:shd w:val="clear" w:color="auto" w:fill="FFFFFF" w:themeFill="text2"/>
      </w:tcPr>
    </w:tblStylePr>
  </w:style>
  <w:style w:type="paragraph" w:customStyle="1" w:styleId="TASCustomtableheading">
    <w:name w:val="TAS Custom table heading"/>
    <w:basedOn w:val="TASNormal"/>
    <w:rsid w:val="00774FEF"/>
    <w:pPr>
      <w:spacing w:before="60" w:after="60"/>
    </w:pPr>
    <w:rPr>
      <w:color w:val="FFFFFF"/>
    </w:rPr>
  </w:style>
  <w:style w:type="paragraph" w:customStyle="1" w:styleId="TASCustomtabletext">
    <w:name w:val="TAS Custom table text"/>
    <w:basedOn w:val="TASNormal"/>
    <w:rsid w:val="00774FEF"/>
  </w:style>
  <w:style w:type="paragraph" w:customStyle="1" w:styleId="TASDepartment">
    <w:name w:val="TAS Department"/>
    <w:basedOn w:val="TASBodytext"/>
    <w:next w:val="TASBodytext"/>
    <w:rsid w:val="00774FEF"/>
    <w:rPr>
      <w:rFonts w:eastAsiaTheme="minorHAnsi"/>
      <w:b/>
      <w:sz w:val="32"/>
      <w:szCs w:val="32"/>
    </w:rPr>
  </w:style>
  <w:style w:type="paragraph" w:customStyle="1" w:styleId="TASDisclaimer">
    <w:name w:val="TAS Disclaimer"/>
    <w:basedOn w:val="TASNormal"/>
    <w:rsid w:val="00774FEF"/>
    <w:pPr>
      <w:jc w:val="both"/>
    </w:pPr>
    <w:rPr>
      <w:b/>
      <w:szCs w:val="10"/>
    </w:rPr>
  </w:style>
  <w:style w:type="paragraph" w:customStyle="1" w:styleId="TASDividertitle">
    <w:name w:val="TAS Divider title"/>
    <w:basedOn w:val="TASNormal"/>
    <w:next w:val="TASBodytext"/>
    <w:rsid w:val="00774FEF"/>
    <w:pPr>
      <w:spacing w:before="3600"/>
    </w:pPr>
    <w:rPr>
      <w:color w:val="808080" w:themeColor="accent1"/>
      <w:sz w:val="40"/>
    </w:rPr>
  </w:style>
  <w:style w:type="character" w:styleId="FootnoteReference">
    <w:name w:val="footnote reference"/>
    <w:basedOn w:val="DefaultParagraphFont"/>
    <w:uiPriority w:val="99"/>
    <w:semiHidden/>
    <w:unhideWhenUsed/>
    <w:rsid w:val="00774FEF"/>
    <w:rPr>
      <w:vertAlign w:val="superscript"/>
    </w:rPr>
  </w:style>
  <w:style w:type="paragraph" w:customStyle="1" w:styleId="TASFooter">
    <w:name w:val="TAS Footer"/>
    <w:basedOn w:val="TASNormal"/>
    <w:next w:val="TASBodytext"/>
    <w:rsid w:val="00774FEF"/>
    <w:pPr>
      <w:tabs>
        <w:tab w:val="left" w:pos="851"/>
        <w:tab w:val="left" w:pos="5755"/>
      </w:tabs>
    </w:pPr>
    <w:rPr>
      <w:color w:val="808080" w:themeColor="accent1"/>
      <w:sz w:val="16"/>
    </w:rPr>
  </w:style>
  <w:style w:type="paragraph" w:customStyle="1" w:styleId="TASLetteraddress">
    <w:name w:val="TAS Letter address"/>
    <w:basedOn w:val="TASNormal"/>
    <w:rsid w:val="00774FEF"/>
    <w:rPr>
      <w:color w:val="808080" w:themeColor="accent1"/>
      <w:sz w:val="16"/>
    </w:rPr>
  </w:style>
  <w:style w:type="paragraph" w:customStyle="1" w:styleId="TASLetteraddressEY">
    <w:name w:val="TAS Letter address EY"/>
    <w:basedOn w:val="TASNormal"/>
    <w:next w:val="TASLetteraddress"/>
    <w:rsid w:val="00774FEF"/>
    <w:rPr>
      <w:b/>
      <w:color w:val="808080" w:themeColor="accent1"/>
      <w:sz w:val="16"/>
      <w:szCs w:val="16"/>
    </w:rPr>
  </w:style>
  <w:style w:type="paragraph" w:customStyle="1" w:styleId="TASLetterbodytext">
    <w:name w:val="TAS Letter body text"/>
    <w:basedOn w:val="TASNormal"/>
    <w:link w:val="TASLetterbodytextCharChar"/>
    <w:rsid w:val="00774FEF"/>
    <w:pPr>
      <w:spacing w:after="120"/>
      <w:jc w:val="both"/>
    </w:pPr>
    <w:rPr>
      <w:rFonts w:cs="Times New Roman"/>
      <w:szCs w:val="16"/>
    </w:rPr>
  </w:style>
  <w:style w:type="paragraph" w:customStyle="1" w:styleId="TASLetterbullet1">
    <w:name w:val="TAS Letter bullet 1"/>
    <w:basedOn w:val="TASLetterbodytext"/>
    <w:rsid w:val="00774FEF"/>
    <w:pPr>
      <w:numPr>
        <w:numId w:val="9"/>
      </w:numPr>
    </w:pPr>
  </w:style>
  <w:style w:type="paragraph" w:customStyle="1" w:styleId="TASLetterbullet2">
    <w:name w:val="TAS Letter bullet 2"/>
    <w:basedOn w:val="TASLetterbullet1"/>
    <w:rsid w:val="00774FEF"/>
    <w:pPr>
      <w:numPr>
        <w:ilvl w:val="1"/>
      </w:numPr>
    </w:pPr>
  </w:style>
  <w:style w:type="paragraph" w:customStyle="1" w:styleId="TASLetterdate">
    <w:name w:val="TAS Letter date"/>
    <w:basedOn w:val="TASNormal"/>
    <w:link w:val="TASLetterdateCharChar"/>
    <w:rsid w:val="00774FEF"/>
    <w:pPr>
      <w:framePr w:wrap="around" w:vAnchor="page" w:hAnchor="page" w:x="796" w:y="796"/>
    </w:pPr>
    <w:rPr>
      <w:noProof/>
      <w:szCs w:val="16"/>
    </w:rPr>
  </w:style>
  <w:style w:type="paragraph" w:customStyle="1" w:styleId="TASLetterdisclaimer">
    <w:name w:val="TAS Letter disclaimer"/>
    <w:basedOn w:val="TASTablesource"/>
    <w:rsid w:val="00774FEF"/>
    <w:pPr>
      <w:jc w:val="both"/>
    </w:pPr>
  </w:style>
  <w:style w:type="paragraph" w:customStyle="1" w:styleId="TASLetterdraft">
    <w:name w:val="TAS Letter draft"/>
    <w:basedOn w:val="TASNormal"/>
    <w:rsid w:val="00774FEF"/>
    <w:pPr>
      <w:tabs>
        <w:tab w:val="right" w:pos="10310"/>
      </w:tabs>
    </w:pPr>
    <w:rPr>
      <w:b/>
      <w:color w:val="808080" w:themeColor="accent1"/>
    </w:rPr>
  </w:style>
  <w:style w:type="paragraph" w:customStyle="1" w:styleId="TASLetterrecipientaddress">
    <w:name w:val="TAS Letter recipient address"/>
    <w:basedOn w:val="TASNormal"/>
    <w:rsid w:val="00774FEF"/>
    <w:rPr>
      <w:szCs w:val="16"/>
    </w:rPr>
  </w:style>
  <w:style w:type="paragraph" w:customStyle="1" w:styleId="TASFooterdatefieldA4port">
    <w:name w:val="TAS Footer date field A4 port"/>
    <w:basedOn w:val="TASFooterdatefield"/>
    <w:rsid w:val="00774FEF"/>
    <w:pPr>
      <w:framePr w:w="2707" w:wrap="around" w:y="15927"/>
    </w:pPr>
  </w:style>
  <w:style w:type="paragraph" w:customStyle="1" w:styleId="TASLettersalutation">
    <w:name w:val="TAS Letter salutation"/>
    <w:basedOn w:val="TASNormal"/>
    <w:next w:val="Normal"/>
    <w:rsid w:val="00774FEF"/>
    <w:pPr>
      <w:spacing w:after="240"/>
      <w:jc w:val="both"/>
    </w:pPr>
  </w:style>
  <w:style w:type="paragraph" w:customStyle="1" w:styleId="TASLettertextheading">
    <w:name w:val="TAS Letter text heading"/>
    <w:basedOn w:val="TASLetterbodytext"/>
    <w:next w:val="TASLetterbodytext"/>
    <w:rsid w:val="00774FEF"/>
    <w:pPr>
      <w:keepNext/>
    </w:pPr>
    <w:rPr>
      <w:b/>
    </w:rPr>
  </w:style>
  <w:style w:type="paragraph" w:customStyle="1" w:styleId="TASName">
    <w:name w:val="TAS Name"/>
    <w:basedOn w:val="TASNormal"/>
    <w:next w:val="TASPosition"/>
    <w:rsid w:val="00774FEF"/>
    <w:pPr>
      <w:spacing w:after="45"/>
    </w:pPr>
    <w:rPr>
      <w:b/>
      <w:bCs/>
      <w:color w:val="808080" w:themeColor="accent1"/>
      <w:sz w:val="18"/>
      <w:szCs w:val="18"/>
    </w:rPr>
  </w:style>
  <w:style w:type="paragraph" w:customStyle="1" w:styleId="TASPosition">
    <w:name w:val="TAS Position"/>
    <w:basedOn w:val="TASNormal"/>
    <w:rsid w:val="00774FEF"/>
    <w:pPr>
      <w:pBdr>
        <w:bottom w:val="single" w:sz="6" w:space="0" w:color="808080" w:themeColor="accent1"/>
      </w:pBdr>
      <w:spacing w:after="60"/>
    </w:pPr>
    <w:rPr>
      <w:color w:val="808080" w:themeColor="accent1"/>
      <w:sz w:val="18"/>
      <w:szCs w:val="18"/>
    </w:rPr>
  </w:style>
  <w:style w:type="paragraph" w:customStyle="1" w:styleId="TASPOVheading">
    <w:name w:val="TAS POV heading"/>
    <w:basedOn w:val="TASBodytext"/>
    <w:rsid w:val="00774FEF"/>
    <w:pPr>
      <w:jc w:val="left"/>
    </w:pPr>
    <w:rPr>
      <w:b/>
    </w:rPr>
  </w:style>
  <w:style w:type="paragraph" w:customStyle="1" w:styleId="TASPresConfidential">
    <w:name w:val="TAS PresConfidential"/>
    <w:basedOn w:val="TASNormal"/>
    <w:rsid w:val="00774FEF"/>
    <w:pPr>
      <w:spacing w:after="120" w:line="264" w:lineRule="auto"/>
    </w:pPr>
    <w:rPr>
      <w:sz w:val="24"/>
    </w:rPr>
  </w:style>
  <w:style w:type="paragraph" w:customStyle="1" w:styleId="TASPresDate">
    <w:name w:val="TAS PresDate"/>
    <w:basedOn w:val="TASNormal"/>
    <w:next w:val="TASCoverdraft"/>
    <w:rsid w:val="00774FEF"/>
    <w:pPr>
      <w:spacing w:after="120" w:line="264" w:lineRule="auto"/>
    </w:pPr>
    <w:rPr>
      <w:color w:val="000000"/>
      <w:sz w:val="28"/>
      <w:szCs w:val="28"/>
    </w:rPr>
  </w:style>
  <w:style w:type="paragraph" w:customStyle="1" w:styleId="TASPresTitle">
    <w:name w:val="TAS PresTitle"/>
    <w:basedOn w:val="TASNormal"/>
    <w:next w:val="TASPresDate"/>
    <w:rsid w:val="00774FEF"/>
    <w:pPr>
      <w:spacing w:before="720" w:after="120" w:line="264" w:lineRule="auto"/>
    </w:pPr>
    <w:rPr>
      <w:b/>
      <w:bCs/>
      <w:color w:val="808080" w:themeColor="accent1"/>
      <w:sz w:val="28"/>
      <w:szCs w:val="28"/>
    </w:rPr>
  </w:style>
  <w:style w:type="paragraph" w:customStyle="1" w:styleId="TASFooterdraft">
    <w:name w:val="TAS Footer draft"/>
    <w:basedOn w:val="TASFooter"/>
    <w:rsid w:val="00774FEF"/>
    <w:pPr>
      <w:framePr w:wrap="around" w:hAnchor="text"/>
    </w:pPr>
  </w:style>
  <w:style w:type="paragraph" w:customStyle="1" w:styleId="TASSectionheader">
    <w:name w:val="TAS Section header"/>
    <w:basedOn w:val="TASNormal"/>
    <w:next w:val="TASBodytext"/>
    <w:rsid w:val="00774FEF"/>
    <w:pPr>
      <w:framePr w:w="3211" w:wrap="around" w:vAnchor="page" w:hAnchor="page" w:x="793" w:y="606"/>
      <w:tabs>
        <w:tab w:val="right" w:pos="10267"/>
      </w:tabs>
      <w:spacing w:after="600"/>
    </w:pPr>
    <w:rPr>
      <w:b/>
      <w:color w:val="808080" w:themeColor="accent1"/>
      <w:sz w:val="16"/>
    </w:rPr>
  </w:style>
  <w:style w:type="paragraph" w:customStyle="1" w:styleId="TASSectiontitle">
    <w:name w:val="TAS Section title"/>
    <w:basedOn w:val="TASNormal"/>
    <w:next w:val="TASBodytext"/>
    <w:rsid w:val="00774FEF"/>
    <w:pPr>
      <w:framePr w:w="3211" w:wrap="around" w:hAnchor="page" w:x="793" w:yAlign="top"/>
      <w:pBdr>
        <w:bottom w:val="single" w:sz="6" w:space="2" w:color="808080" w:themeColor="accent1"/>
      </w:pBdr>
      <w:tabs>
        <w:tab w:val="right" w:pos="14459"/>
      </w:tabs>
      <w:spacing w:before="3600"/>
    </w:pPr>
    <w:rPr>
      <w:b/>
      <w:color w:val="808080" w:themeColor="accent1"/>
      <w:sz w:val="24"/>
      <w:szCs w:val="24"/>
    </w:rPr>
  </w:style>
  <w:style w:type="paragraph" w:customStyle="1" w:styleId="TASStrapline">
    <w:name w:val="TAS Strap line"/>
    <w:basedOn w:val="TASNormal"/>
    <w:next w:val="TASBodytext"/>
    <w:rsid w:val="00774FEF"/>
    <w:pPr>
      <w:framePr w:w="10325" w:h="734" w:hRule="exact" w:wrap="notBeside" w:vAnchor="page" w:hAnchor="page" w:x="793" w:y="1225" w:anchorLock="1"/>
    </w:pPr>
    <w:rPr>
      <w:b/>
      <w:color w:val="808080" w:themeColor="accent1"/>
      <w:sz w:val="28"/>
      <w:szCs w:val="28"/>
    </w:rPr>
  </w:style>
  <w:style w:type="paragraph" w:customStyle="1" w:styleId="TASSubsection">
    <w:name w:val="TAS Subsection"/>
    <w:basedOn w:val="TASNormal"/>
    <w:rsid w:val="00774FEF"/>
    <w:pPr>
      <w:framePr w:w="3211" w:wrap="around" w:vAnchor="page" w:hAnchor="page" w:xAlign="center" w:y="606" w:anchorLock="1"/>
      <w:tabs>
        <w:tab w:val="left" w:pos="5490"/>
      </w:tabs>
      <w:jc w:val="center"/>
    </w:pPr>
    <w:rPr>
      <w:b/>
      <w:color w:val="808080" w:themeColor="accent1"/>
      <w:sz w:val="16"/>
    </w:rPr>
  </w:style>
  <w:style w:type="paragraph" w:customStyle="1" w:styleId="TASFooterdraftA4port">
    <w:name w:val="TAS Footer draft A4 port"/>
    <w:basedOn w:val="TASFooterdraft"/>
    <w:rsid w:val="00774FEF"/>
    <w:pPr>
      <w:framePr w:w="3211" w:wrap="around" w:vAnchor="page" w:hAnchor="page" w:xAlign="center" w:y="16115" w:anchorLock="1"/>
      <w:jc w:val="center"/>
    </w:pPr>
    <w:rPr>
      <w:b/>
    </w:rPr>
  </w:style>
  <w:style w:type="paragraph" w:customStyle="1" w:styleId="TASTablenote">
    <w:name w:val="TAS Table note"/>
    <w:basedOn w:val="TASBodytext"/>
    <w:rsid w:val="00774FEF"/>
    <w:pPr>
      <w:numPr>
        <w:numId w:val="11"/>
      </w:numPr>
      <w:tabs>
        <w:tab w:val="left" w:pos="288"/>
      </w:tabs>
      <w:spacing w:before="20" w:after="20"/>
    </w:pPr>
    <w:rPr>
      <w:rFonts w:ascii="Arial Narrow" w:hAnsi="Arial Narrow"/>
      <w:color w:val="000000" w:themeColor="text1"/>
      <w:sz w:val="16"/>
    </w:rPr>
  </w:style>
  <w:style w:type="paragraph" w:customStyle="1" w:styleId="TASFooterfilename">
    <w:name w:val="TAS Footer filename"/>
    <w:basedOn w:val="TASFooter"/>
    <w:rsid w:val="00774FEF"/>
    <w:pPr>
      <w:framePr w:wrap="around" w:hAnchor="text" w:y="11190"/>
    </w:pPr>
  </w:style>
  <w:style w:type="paragraph" w:customStyle="1" w:styleId="TASFooterfilenameA4port">
    <w:name w:val="TAS Footer filename A4 port"/>
    <w:basedOn w:val="TASFooterfilename"/>
    <w:rsid w:val="00774FEF"/>
    <w:pPr>
      <w:framePr w:w="2707" w:wrap="around" w:vAnchor="page" w:hAnchor="page" w:x="1441" w:y="16115"/>
    </w:pPr>
  </w:style>
  <w:style w:type="paragraph" w:customStyle="1" w:styleId="TASTabletitle">
    <w:name w:val="TAS Table title"/>
    <w:basedOn w:val="TASNormal"/>
    <w:rsid w:val="00774FEF"/>
    <w:pPr>
      <w:keepNext/>
      <w:spacing w:after="60"/>
    </w:pPr>
    <w:rPr>
      <w:b/>
      <w:bCs/>
      <w:color w:val="808080" w:themeColor="accent1"/>
      <w:sz w:val="16"/>
      <w:szCs w:val="16"/>
    </w:rPr>
  </w:style>
  <w:style w:type="paragraph" w:customStyle="1" w:styleId="TASTextheading1">
    <w:name w:val="TAS Text heading 1"/>
    <w:basedOn w:val="TASNormal"/>
    <w:next w:val="TASBodytext"/>
    <w:link w:val="TASTextheading1Char"/>
    <w:qFormat/>
    <w:rsid w:val="00774FEF"/>
    <w:pPr>
      <w:keepNext/>
      <w:spacing w:after="120"/>
    </w:pPr>
    <w:rPr>
      <w:b/>
      <w:bCs/>
      <w:color w:val="808080" w:themeColor="accent1"/>
    </w:rPr>
  </w:style>
  <w:style w:type="paragraph" w:customStyle="1" w:styleId="TASTextheading2">
    <w:name w:val="TAS Text heading 2"/>
    <w:basedOn w:val="TASTextheading1"/>
    <w:next w:val="TASBodytext"/>
    <w:qFormat/>
    <w:rsid w:val="00774FEF"/>
    <w:rPr>
      <w:b w:val="0"/>
    </w:rPr>
  </w:style>
  <w:style w:type="paragraph" w:customStyle="1" w:styleId="TASTextheading3">
    <w:name w:val="TAS Text heading 3"/>
    <w:basedOn w:val="TASTextheading2"/>
    <w:next w:val="TASBodytext"/>
    <w:qFormat/>
    <w:rsid w:val="00774FEF"/>
    <w:rPr>
      <w:i/>
    </w:rPr>
  </w:style>
  <w:style w:type="paragraph" w:customStyle="1" w:styleId="TASFooterlogo">
    <w:name w:val="TAS Footer logo"/>
    <w:basedOn w:val="TASFooter"/>
    <w:rsid w:val="00774FEF"/>
    <w:pPr>
      <w:framePr w:w="2160" w:h="216" w:hRule="exact" w:wrap="around" w:vAnchor="page" w:hAnchor="page" w:x="13940" w:y="11003" w:anchorLock="1"/>
      <w:jc w:val="right"/>
    </w:pPr>
    <w:rPr>
      <w:rFonts w:ascii="EY Tagline" w:hAnsi="EY Tagline"/>
    </w:rPr>
  </w:style>
  <w:style w:type="paragraph" w:customStyle="1" w:styleId="TASTiny">
    <w:name w:val="TAS Tiny"/>
    <w:basedOn w:val="TASNormal"/>
    <w:rsid w:val="00774FEF"/>
    <w:rPr>
      <w:sz w:val="10"/>
    </w:rPr>
  </w:style>
  <w:style w:type="paragraph" w:customStyle="1" w:styleId="TASFooterlogoA4port">
    <w:name w:val="TAS Footer logo A4 port"/>
    <w:basedOn w:val="TASFooterlogo"/>
    <w:rsid w:val="00774FEF"/>
    <w:pPr>
      <w:framePr w:wrap="around" w:x="8972" w:y="15927"/>
    </w:pPr>
  </w:style>
  <w:style w:type="paragraph" w:styleId="TOC1">
    <w:name w:val="toc 1"/>
    <w:basedOn w:val="TASTOC1"/>
    <w:next w:val="TASBodytext"/>
    <w:uiPriority w:val="39"/>
    <w:unhideWhenUsed/>
    <w:qFormat/>
    <w:rsid w:val="00774FEF"/>
  </w:style>
  <w:style w:type="paragraph" w:styleId="TOC2">
    <w:name w:val="toc 2"/>
    <w:basedOn w:val="TASTOC2"/>
    <w:next w:val="TASBodytext"/>
    <w:uiPriority w:val="39"/>
    <w:unhideWhenUsed/>
    <w:qFormat/>
    <w:rsid w:val="00774FEF"/>
  </w:style>
  <w:style w:type="paragraph" w:styleId="TOC3">
    <w:name w:val="toc 3"/>
    <w:basedOn w:val="TASTOC3"/>
    <w:next w:val="TASBodytext"/>
    <w:uiPriority w:val="39"/>
    <w:unhideWhenUsed/>
    <w:qFormat/>
    <w:rsid w:val="00774FEF"/>
    <w:pPr>
      <w:numPr>
        <w:numId w:val="14"/>
      </w:numPr>
    </w:pPr>
  </w:style>
  <w:style w:type="paragraph" w:customStyle="1" w:styleId="TASTightbullet1">
    <w:name w:val="TAS Tight bullet 1"/>
    <w:basedOn w:val="TASNormal"/>
    <w:rsid w:val="00774FEF"/>
    <w:pPr>
      <w:numPr>
        <w:numId w:val="12"/>
      </w:numPr>
      <w:spacing w:before="60" w:after="60"/>
    </w:pPr>
  </w:style>
  <w:style w:type="paragraph" w:customStyle="1" w:styleId="TASTightbullet2">
    <w:name w:val="TAS Tight bullet 2"/>
    <w:basedOn w:val="TASNormal"/>
    <w:rsid w:val="00774FEF"/>
    <w:pPr>
      <w:numPr>
        <w:ilvl w:val="1"/>
        <w:numId w:val="12"/>
      </w:numPr>
      <w:spacing w:before="60" w:after="60"/>
    </w:pPr>
  </w:style>
  <w:style w:type="paragraph" w:customStyle="1" w:styleId="TASTOC1">
    <w:name w:val="TAS TOC 1"/>
    <w:basedOn w:val="TASNormal"/>
    <w:rsid w:val="00774FEF"/>
    <w:pPr>
      <w:tabs>
        <w:tab w:val="right" w:pos="10325"/>
      </w:tabs>
      <w:spacing w:before="360" w:after="360"/>
    </w:pPr>
    <w:rPr>
      <w:b/>
      <w:color w:val="808080" w:themeColor="accent1"/>
      <w:sz w:val="28"/>
    </w:rPr>
  </w:style>
  <w:style w:type="paragraph" w:customStyle="1" w:styleId="TASTOC2">
    <w:name w:val="TAS TOC 2"/>
    <w:basedOn w:val="TASNormal"/>
    <w:rsid w:val="00774FEF"/>
    <w:pPr>
      <w:tabs>
        <w:tab w:val="right" w:pos="10325"/>
      </w:tabs>
      <w:spacing w:after="240"/>
      <w:ind w:right="720"/>
    </w:pPr>
    <w:rPr>
      <w:b/>
      <w:color w:val="808080" w:themeColor="accent1"/>
      <w:sz w:val="24"/>
    </w:rPr>
  </w:style>
  <w:style w:type="paragraph" w:customStyle="1" w:styleId="TASTOC3">
    <w:name w:val="TAS TOC 3"/>
    <w:basedOn w:val="TASNormal"/>
    <w:rsid w:val="00774FEF"/>
    <w:pPr>
      <w:numPr>
        <w:numId w:val="13"/>
      </w:numPr>
      <w:tabs>
        <w:tab w:val="right" w:pos="10325"/>
      </w:tabs>
      <w:spacing w:after="120"/>
      <w:ind w:right="720"/>
    </w:pPr>
  </w:style>
  <w:style w:type="paragraph" w:customStyle="1" w:styleId="TASFooterpagenum">
    <w:name w:val="TAS Footer page num"/>
    <w:basedOn w:val="TASNormal"/>
    <w:rsid w:val="00774FEF"/>
    <w:pPr>
      <w:framePr w:w="504" w:h="187" w:hRule="exact" w:wrap="around" w:vAnchor="page" w:hAnchor="page" w:x="793" w:y="11003" w:anchorLock="1"/>
    </w:pPr>
    <w:rPr>
      <w:color w:val="808080" w:themeColor="accent1"/>
      <w:sz w:val="16"/>
      <w:szCs w:val="16"/>
    </w:rPr>
  </w:style>
  <w:style w:type="paragraph" w:customStyle="1" w:styleId="TASFooterpagenumA4port">
    <w:name w:val="TAS Footer page num A4 port"/>
    <w:basedOn w:val="TASFooterpagenum"/>
    <w:rsid w:val="00774FEF"/>
    <w:pPr>
      <w:framePr w:wrap="around" w:y="15927"/>
    </w:pPr>
  </w:style>
  <w:style w:type="table" w:customStyle="1" w:styleId="TASImportedtablestyle">
    <w:name w:val="TAS Imported table style"/>
    <w:basedOn w:val="TableNormal"/>
    <w:uiPriority w:val="99"/>
    <w:qFormat/>
    <w:rsid w:val="00774FEF"/>
    <w:pPr>
      <w:spacing w:before="20" w:after="20" w:line="240" w:lineRule="auto"/>
      <w:jc w:val="right"/>
    </w:pPr>
    <w:rPr>
      <w:rFonts w:ascii="Arial Narrow" w:hAnsi="Arial Narrow"/>
      <w:sz w:val="16"/>
    </w:rPr>
    <w:tblPr>
      <w:tblStyleRowBandSize w:val="1"/>
      <w:tblStyleColBandSize w:val="1"/>
      <w:tblBorders>
        <w:top w:val="single" w:sz="6" w:space="0" w:color="808080" w:themeColor="accent1"/>
        <w:bottom w:val="single" w:sz="6" w:space="0" w:color="808080" w:themeColor="accent1"/>
      </w:tblBorders>
      <w:tblCellMar>
        <w:left w:w="0" w:type="dxa"/>
        <w:right w:w="58" w:type="dxa"/>
      </w:tblCellMar>
    </w:tblPr>
    <w:trPr>
      <w:cantSplit/>
    </w:trPr>
    <w:tcPr>
      <w:shd w:val="clear" w:color="auto" w:fill="F0F0F0" w:themeFill="accent4"/>
      <w:vAlign w:val="bottom"/>
    </w:tcPr>
    <w:tblStylePr w:type="firstRow">
      <w:rPr>
        <w:rFonts w:ascii="Arial Narrow" w:hAnsi="Arial Narrow"/>
        <w:color w:val="auto"/>
        <w:sz w:val="16"/>
      </w:rPr>
      <w:tblPr/>
      <w:trPr>
        <w:cantSplit w:val="0"/>
        <w:tblHeader/>
      </w:trPr>
      <w:tcPr>
        <w:tcBorders>
          <w:bottom w:val="single" w:sz="6" w:space="0" w:color="808080" w:themeColor="accent1"/>
        </w:tcBorders>
      </w:tcPr>
    </w:tblStylePr>
    <w:tblStylePr w:type="lastRow">
      <w:rPr>
        <w:rFonts w:ascii="Arial Narrow" w:hAnsi="Arial Narrow"/>
        <w:sz w:val="16"/>
      </w:rPr>
    </w:tblStylePr>
    <w:tblStylePr w:type="firstCol">
      <w:pPr>
        <w:wordWrap/>
        <w:jc w:val="left"/>
      </w:pPr>
      <w:rPr>
        <w:rFonts w:ascii="Arial Narrow" w:hAnsi="Arial Narrow"/>
        <w:sz w:val="16"/>
      </w:rPr>
    </w:tblStylePr>
    <w:tblStylePr w:type="lastCol">
      <w:rPr>
        <w:rFonts w:ascii="Arial Narrow" w:hAnsi="Arial Narrow"/>
        <w:sz w:val="16"/>
      </w:rPr>
    </w:tblStylePr>
    <w:tblStylePr w:type="band1Vert">
      <w:rPr>
        <w:rFonts w:ascii="Arial Narrow" w:hAnsi="Arial Narrow"/>
        <w:sz w:val="16"/>
      </w:rPr>
    </w:tblStylePr>
    <w:tblStylePr w:type="band2Vert">
      <w:rPr>
        <w:rFonts w:ascii="Arial Narrow" w:hAnsi="Arial Narrow"/>
        <w:sz w:val="16"/>
      </w:rPr>
    </w:tblStylePr>
    <w:tblStylePr w:type="band1Horz">
      <w:rPr>
        <w:rFonts w:ascii="Arial Narrow" w:hAnsi="Arial Narrow"/>
        <w:sz w:val="16"/>
      </w:rPr>
    </w:tblStylePr>
    <w:tblStylePr w:type="band2Horz">
      <w:rPr>
        <w:rFonts w:ascii="Arial Narrow" w:hAnsi="Arial Narrow"/>
        <w:sz w:val="16"/>
      </w:rPr>
    </w:tblStylePr>
    <w:tblStylePr w:type="neCell">
      <w:rPr>
        <w:rFonts w:ascii="Arial Narrow" w:hAnsi="Arial Narrow"/>
        <w:sz w:val="16"/>
      </w:rPr>
    </w:tblStylePr>
    <w:tblStylePr w:type="nwCell">
      <w:rPr>
        <w:rFonts w:ascii="Arial Narrow" w:hAnsi="Arial Narrow"/>
        <w:sz w:val="16"/>
      </w:rPr>
    </w:tblStylePr>
    <w:tblStylePr w:type="seCell">
      <w:rPr>
        <w:rFonts w:ascii="Arial Narrow" w:hAnsi="Arial Narrow"/>
        <w:sz w:val="16"/>
      </w:rPr>
    </w:tblStylePr>
    <w:tblStylePr w:type="swCell">
      <w:rPr>
        <w:rFonts w:ascii="Arial Narrow" w:hAnsi="Arial Narrow"/>
        <w:sz w:val="16"/>
      </w:rPr>
    </w:tblStylePr>
  </w:style>
  <w:style w:type="numbering" w:customStyle="1" w:styleId="TASLetterbulletlist">
    <w:name w:val="TAS Letter bullet list"/>
    <w:uiPriority w:val="99"/>
    <w:rsid w:val="00774FEF"/>
    <w:pPr>
      <w:numPr>
        <w:numId w:val="2"/>
      </w:numPr>
    </w:pPr>
  </w:style>
  <w:style w:type="paragraph" w:customStyle="1" w:styleId="TASTablesource">
    <w:name w:val="TAS Table source"/>
    <w:basedOn w:val="TASNormal"/>
    <w:rsid w:val="00774FEF"/>
    <w:pPr>
      <w:spacing w:before="20" w:after="20"/>
    </w:pPr>
    <w:rPr>
      <w:rFonts w:ascii="Arial Narrow" w:hAnsi="Arial Narrow"/>
      <w:bCs/>
      <w:color w:val="808080" w:themeColor="accent1"/>
      <w:sz w:val="12"/>
      <w:szCs w:val="10"/>
    </w:rPr>
  </w:style>
  <w:style w:type="numbering" w:customStyle="1" w:styleId="TASList">
    <w:name w:val="TAS List"/>
    <w:uiPriority w:val="99"/>
    <w:rsid w:val="00774FEF"/>
    <w:pPr>
      <w:numPr>
        <w:numId w:val="3"/>
      </w:numPr>
    </w:pPr>
  </w:style>
  <w:style w:type="paragraph" w:customStyle="1" w:styleId="TASPOVtext">
    <w:name w:val="TAS POV text"/>
    <w:basedOn w:val="TASBodytext"/>
    <w:rsid w:val="00774FEF"/>
    <w:pPr>
      <w:spacing w:after="60"/>
      <w:jc w:val="left"/>
    </w:pPr>
  </w:style>
  <w:style w:type="paragraph" w:customStyle="1" w:styleId="TASReport">
    <w:name w:val="TAS Report"/>
    <w:basedOn w:val="TASNormal"/>
    <w:rsid w:val="00774FEF"/>
    <w:pPr>
      <w:spacing w:after="120"/>
    </w:pPr>
    <w:rPr>
      <w:b/>
      <w:sz w:val="24"/>
    </w:rPr>
  </w:style>
  <w:style w:type="paragraph" w:customStyle="1" w:styleId="TASStraplinefirst">
    <w:name w:val="TAS Strap line first"/>
    <w:basedOn w:val="TASStrapline"/>
    <w:next w:val="TASBodytext"/>
    <w:rsid w:val="00774FEF"/>
    <w:pPr>
      <w:framePr w:wrap="notBeside"/>
    </w:pPr>
  </w:style>
  <w:style w:type="character" w:styleId="Hyperlink">
    <w:name w:val="Hyperlink"/>
    <w:basedOn w:val="DefaultParagraphFont"/>
    <w:uiPriority w:val="99"/>
    <w:unhideWhenUsed/>
    <w:rsid w:val="00774FEF"/>
    <w:rPr>
      <w:color w:val="336699" w:themeColor="hyperlink"/>
      <w:u w:val="single"/>
    </w:rPr>
  </w:style>
  <w:style w:type="character" w:styleId="PlaceholderText">
    <w:name w:val="Placeholder Text"/>
    <w:basedOn w:val="DefaultParagraphFont"/>
    <w:uiPriority w:val="99"/>
    <w:semiHidden/>
    <w:rsid w:val="00774FEF"/>
    <w:rPr>
      <w:color w:val="808080"/>
    </w:rPr>
  </w:style>
  <w:style w:type="paragraph" w:customStyle="1" w:styleId="TASTablebullet1">
    <w:name w:val="TAS Table bullet 1"/>
    <w:basedOn w:val="TASNormal"/>
    <w:rsid w:val="00774FEF"/>
    <w:pPr>
      <w:numPr>
        <w:numId w:val="10"/>
      </w:numPr>
      <w:tabs>
        <w:tab w:val="left" w:pos="374"/>
      </w:tabs>
      <w:spacing w:before="20" w:after="20"/>
    </w:pPr>
    <w:rPr>
      <w:rFonts w:ascii="Arial Narrow" w:hAnsi="Arial Narrow"/>
      <w:sz w:val="16"/>
    </w:rPr>
  </w:style>
  <w:style w:type="paragraph" w:customStyle="1" w:styleId="TASTablebullet2">
    <w:name w:val="TAS Table bullet 2"/>
    <w:basedOn w:val="TASNormal"/>
    <w:rsid w:val="00774FEF"/>
    <w:pPr>
      <w:numPr>
        <w:ilvl w:val="1"/>
        <w:numId w:val="10"/>
      </w:numPr>
      <w:tabs>
        <w:tab w:val="left" w:pos="374"/>
      </w:tabs>
      <w:spacing w:before="20" w:after="20"/>
    </w:pPr>
    <w:rPr>
      <w:rFonts w:ascii="Arial Narrow" w:hAnsi="Arial Narrow"/>
      <w:sz w:val="16"/>
    </w:rPr>
  </w:style>
  <w:style w:type="numbering" w:customStyle="1" w:styleId="TASTablebulletliststyle">
    <w:name w:val="TAS Table bullet list style"/>
    <w:uiPriority w:val="99"/>
    <w:rsid w:val="00774FEF"/>
    <w:pPr>
      <w:numPr>
        <w:numId w:val="4"/>
      </w:numPr>
    </w:pPr>
  </w:style>
  <w:style w:type="paragraph" w:customStyle="1" w:styleId="TASTableheading">
    <w:name w:val="TAS Table heading"/>
    <w:basedOn w:val="TASNormal"/>
    <w:rsid w:val="00774FEF"/>
    <w:pPr>
      <w:spacing w:before="20" w:after="20"/>
    </w:pPr>
    <w:rPr>
      <w:rFonts w:ascii="Arial Narrow" w:hAnsi="Arial Narrow"/>
      <w:b/>
      <w:color w:val="808080" w:themeColor="accent1"/>
      <w:sz w:val="16"/>
    </w:rPr>
  </w:style>
  <w:style w:type="numbering" w:customStyle="1" w:styleId="TASTablenotelist">
    <w:name w:val="TAS Table note list"/>
    <w:uiPriority w:val="99"/>
    <w:rsid w:val="00774FEF"/>
    <w:pPr>
      <w:numPr>
        <w:numId w:val="5"/>
      </w:numPr>
    </w:pPr>
  </w:style>
  <w:style w:type="paragraph" w:customStyle="1" w:styleId="TASTablenotesheading">
    <w:name w:val="TAS Table notes heading"/>
    <w:basedOn w:val="TASNormal"/>
    <w:next w:val="TASTablenote"/>
    <w:rsid w:val="00774FEF"/>
    <w:pPr>
      <w:keepNext/>
      <w:spacing w:before="20" w:after="20"/>
    </w:pPr>
    <w:rPr>
      <w:rFonts w:ascii="Arial Narrow" w:hAnsi="Arial Narrow"/>
      <w:bCs/>
      <w:color w:val="000000" w:themeColor="text1"/>
      <w:sz w:val="16"/>
      <w:szCs w:val="10"/>
    </w:rPr>
  </w:style>
  <w:style w:type="paragraph" w:customStyle="1" w:styleId="TASTabletext">
    <w:name w:val="TAS Table text"/>
    <w:basedOn w:val="TASNormal"/>
    <w:rsid w:val="00774FEF"/>
    <w:pPr>
      <w:spacing w:before="20" w:after="20"/>
    </w:pPr>
    <w:rPr>
      <w:rFonts w:ascii="Arial Narrow" w:hAnsi="Arial Narrow"/>
      <w:sz w:val="16"/>
    </w:rPr>
  </w:style>
  <w:style w:type="paragraph" w:customStyle="1" w:styleId="TASTablenumber">
    <w:name w:val="TAS Table number"/>
    <w:basedOn w:val="TASTabletext"/>
    <w:rsid w:val="00774FEF"/>
    <w:pPr>
      <w:jc w:val="right"/>
    </w:pPr>
  </w:style>
  <w:style w:type="paragraph" w:customStyle="1" w:styleId="TASTabletextbold">
    <w:name w:val="TAS Table text bold"/>
    <w:basedOn w:val="TASTabletext"/>
    <w:rsid w:val="00774FEF"/>
    <w:rPr>
      <w:b/>
    </w:rPr>
  </w:style>
  <w:style w:type="paragraph" w:customStyle="1" w:styleId="TASTabletitleborder">
    <w:name w:val="TAS Table title border"/>
    <w:basedOn w:val="TASTabletitle"/>
    <w:next w:val="TASTablesource"/>
    <w:rsid w:val="00774FEF"/>
    <w:pPr>
      <w:pBdr>
        <w:bottom w:val="single" w:sz="6" w:space="3" w:color="808080" w:themeColor="accent1"/>
      </w:pBdr>
      <w:spacing w:after="40"/>
    </w:pPr>
  </w:style>
  <w:style w:type="paragraph" w:customStyle="1" w:styleId="TASTextHeader">
    <w:name w:val="TAS Text Header"/>
    <w:basedOn w:val="Normal"/>
    <w:rsid w:val="00B32F2C"/>
    <w:pPr>
      <w:tabs>
        <w:tab w:val="right" w:pos="15168"/>
      </w:tabs>
      <w:spacing w:after="600"/>
      <w:jc w:val="right"/>
    </w:pPr>
    <w:rPr>
      <w:rFonts w:cs="Arial"/>
      <w:b/>
      <w:color w:val="808080" w:themeColor="accent1"/>
      <w:szCs w:val="16"/>
    </w:rPr>
  </w:style>
  <w:style w:type="numbering" w:customStyle="1" w:styleId="TASTightbulletliststyle">
    <w:name w:val="TAS Tight bullet list style"/>
    <w:uiPriority w:val="99"/>
    <w:rsid w:val="00774FEF"/>
    <w:pPr>
      <w:numPr>
        <w:numId w:val="6"/>
      </w:numPr>
    </w:pPr>
  </w:style>
  <w:style w:type="paragraph" w:customStyle="1" w:styleId="TASTighttext">
    <w:name w:val="TAS Tight text"/>
    <w:basedOn w:val="TASNormal"/>
    <w:rsid w:val="00774FEF"/>
    <w:pPr>
      <w:spacing w:before="60" w:after="60"/>
    </w:pPr>
  </w:style>
  <w:style w:type="paragraph" w:styleId="Header">
    <w:name w:val="header"/>
    <w:basedOn w:val="Normal"/>
    <w:link w:val="HeaderChar"/>
    <w:uiPriority w:val="99"/>
    <w:unhideWhenUsed/>
    <w:rsid w:val="00774FEF"/>
    <w:pPr>
      <w:tabs>
        <w:tab w:val="center" w:pos="4680"/>
        <w:tab w:val="right" w:pos="9360"/>
      </w:tabs>
      <w:spacing w:line="240" w:lineRule="auto"/>
    </w:pPr>
  </w:style>
  <w:style w:type="character" w:customStyle="1" w:styleId="HeaderChar">
    <w:name w:val="Header Char"/>
    <w:basedOn w:val="DefaultParagraphFont"/>
    <w:link w:val="Header"/>
    <w:uiPriority w:val="99"/>
    <w:rsid w:val="003169DB"/>
    <w:rPr>
      <w:rFonts w:ascii="EYInterstate Light" w:hAnsi="EYInterstate Light"/>
    </w:rPr>
  </w:style>
  <w:style w:type="paragraph" w:styleId="Footer">
    <w:name w:val="footer"/>
    <w:basedOn w:val="Normal"/>
    <w:link w:val="FooterChar"/>
    <w:uiPriority w:val="99"/>
    <w:unhideWhenUsed/>
    <w:rsid w:val="00774FEF"/>
    <w:pPr>
      <w:tabs>
        <w:tab w:val="center" w:pos="4680"/>
        <w:tab w:val="right" w:pos="9360"/>
      </w:tabs>
      <w:spacing w:line="240" w:lineRule="auto"/>
    </w:pPr>
  </w:style>
  <w:style w:type="character" w:customStyle="1" w:styleId="FooterChar">
    <w:name w:val="Footer Char"/>
    <w:basedOn w:val="DefaultParagraphFont"/>
    <w:link w:val="Footer"/>
    <w:uiPriority w:val="99"/>
    <w:rsid w:val="003169DB"/>
    <w:rPr>
      <w:rFonts w:ascii="EYInterstate Light" w:hAnsi="EYInterstate Light"/>
    </w:rPr>
  </w:style>
  <w:style w:type="paragraph" w:customStyle="1" w:styleId="TASFootnote">
    <w:name w:val="TAS Footnote"/>
    <w:basedOn w:val="TASNormal"/>
    <w:rsid w:val="00774FEF"/>
    <w:rPr>
      <w:sz w:val="16"/>
    </w:rPr>
  </w:style>
  <w:style w:type="character" w:customStyle="1" w:styleId="TASNormalchar">
    <w:name w:val="TAS Normal char"/>
    <w:uiPriority w:val="1"/>
    <w:rsid w:val="00774FEF"/>
    <w:rPr>
      <w:rFonts w:ascii="Arial" w:hAnsi="Arial"/>
      <w:color w:val="auto"/>
      <w:sz w:val="20"/>
      <w:lang w:val="hu-HU"/>
    </w:rPr>
  </w:style>
  <w:style w:type="character" w:customStyle="1" w:styleId="TASGuidancetext">
    <w:name w:val="TAS Guidance text"/>
    <w:basedOn w:val="TASNormalchar"/>
    <w:uiPriority w:val="1"/>
    <w:rsid w:val="00774FEF"/>
    <w:rPr>
      <w:rFonts w:ascii="Arial" w:hAnsi="Arial"/>
      <w:color w:val="00A3AE" w:themeColor="accent5"/>
      <w:sz w:val="20"/>
      <w:lang w:val="hu-HU"/>
    </w:rPr>
  </w:style>
  <w:style w:type="character" w:customStyle="1" w:styleId="TASHiddentext">
    <w:name w:val="TAS Hidden text"/>
    <w:basedOn w:val="TASNormalchar"/>
    <w:uiPriority w:val="1"/>
    <w:rsid w:val="00774FEF"/>
    <w:rPr>
      <w:rFonts w:ascii="Arial" w:hAnsi="Arial"/>
      <w:vanish/>
      <w:color w:val="FF00FF"/>
      <w:sz w:val="20"/>
      <w:lang w:val="hu-HU"/>
    </w:rPr>
  </w:style>
  <w:style w:type="paragraph" w:customStyle="1" w:styleId="TASSignpost">
    <w:name w:val="TAS Signpost"/>
    <w:basedOn w:val="TASSubsection"/>
    <w:next w:val="TASBodytext"/>
    <w:rsid w:val="00774FEF"/>
    <w:pPr>
      <w:framePr w:wrap="around" w:x="7907"/>
      <w:jc w:val="right"/>
    </w:pPr>
  </w:style>
  <w:style w:type="paragraph" w:customStyle="1" w:styleId="TASSignpostheader">
    <w:name w:val="TAS Signpost header"/>
    <w:basedOn w:val="TASSignpost"/>
    <w:rsid w:val="00774FEF"/>
    <w:pPr>
      <w:framePr w:wrap="around"/>
    </w:pPr>
  </w:style>
  <w:style w:type="paragraph" w:customStyle="1" w:styleId="TASSubsectionheader">
    <w:name w:val="TAS Subsection header"/>
    <w:basedOn w:val="TASSubsection"/>
    <w:rsid w:val="00774FEF"/>
    <w:pPr>
      <w:framePr w:wrap="around"/>
    </w:pPr>
  </w:style>
  <w:style w:type="paragraph" w:customStyle="1" w:styleId="TASTightheading">
    <w:name w:val="TAS Tight heading"/>
    <w:basedOn w:val="TASTighttext"/>
    <w:next w:val="TASTighttext"/>
    <w:rsid w:val="00774FEF"/>
    <w:rPr>
      <w:b/>
      <w:color w:val="808080" w:themeColor="accent1"/>
    </w:rPr>
  </w:style>
  <w:style w:type="paragraph" w:styleId="FootnoteText">
    <w:name w:val="footnote text"/>
    <w:basedOn w:val="TASFootnote"/>
    <w:link w:val="FootnoteTextChar"/>
    <w:uiPriority w:val="99"/>
    <w:unhideWhenUsed/>
    <w:qFormat/>
    <w:rsid w:val="00774FEF"/>
  </w:style>
  <w:style w:type="character" w:customStyle="1" w:styleId="FootnoteTextChar">
    <w:name w:val="Footnote Text Char"/>
    <w:basedOn w:val="DefaultParagraphFont"/>
    <w:link w:val="FootnoteText"/>
    <w:uiPriority w:val="99"/>
    <w:rsid w:val="007F325B"/>
    <w:rPr>
      <w:rFonts w:ascii="Arial" w:eastAsia="MS Mincho" w:hAnsi="Arial" w:cs="Arial"/>
      <w:sz w:val="16"/>
      <w:szCs w:val="20"/>
      <w:lang w:val="hu-HU" w:eastAsia="hu-HU"/>
    </w:rPr>
  </w:style>
  <w:style w:type="numbering" w:customStyle="1" w:styleId="TASBulletnumberlist1">
    <w:name w:val="TAS Bullet number list1"/>
    <w:uiPriority w:val="99"/>
    <w:rsid w:val="00774072"/>
  </w:style>
  <w:style w:type="character" w:customStyle="1" w:styleId="TASLetterdateCharChar">
    <w:name w:val="TAS Letter date Char Char"/>
    <w:basedOn w:val="DefaultParagraphFont"/>
    <w:link w:val="TASLetterdate"/>
    <w:rsid w:val="00121969"/>
    <w:rPr>
      <w:rFonts w:ascii="Arial" w:eastAsia="MS Mincho" w:hAnsi="Arial" w:cs="Arial"/>
      <w:noProof/>
      <w:sz w:val="20"/>
      <w:szCs w:val="16"/>
      <w:lang w:val="hu-HU" w:eastAsia="hu-HU"/>
    </w:rPr>
  </w:style>
  <w:style w:type="character" w:customStyle="1" w:styleId="TASLetterbodytextCharChar">
    <w:name w:val="TAS Letter body text Char Char"/>
    <w:basedOn w:val="DefaultParagraphFont"/>
    <w:link w:val="TASLetterbodytext"/>
    <w:rsid w:val="00227B90"/>
    <w:rPr>
      <w:rFonts w:ascii="Arial" w:eastAsia="MS Mincho" w:hAnsi="Arial" w:cs="Times New Roman"/>
      <w:sz w:val="20"/>
      <w:szCs w:val="16"/>
      <w:lang w:val="hu-HU" w:eastAsia="hu-HU"/>
    </w:rPr>
  </w:style>
  <w:style w:type="character" w:customStyle="1" w:styleId="Heading5Char">
    <w:name w:val="Heading 5 Char"/>
    <w:basedOn w:val="DefaultParagraphFont"/>
    <w:link w:val="Heading5"/>
    <w:uiPriority w:val="1"/>
    <w:rsid w:val="00387FA4"/>
    <w:rPr>
      <w:rFonts w:asciiTheme="majorHAnsi" w:eastAsiaTheme="majorEastAsia" w:hAnsiTheme="majorHAnsi" w:cstheme="majorBidi"/>
      <w:color w:val="3F3F3F" w:themeColor="accent1" w:themeShade="7F"/>
      <w:sz w:val="20"/>
    </w:rPr>
  </w:style>
  <w:style w:type="character" w:customStyle="1" w:styleId="Heading8Char">
    <w:name w:val="Heading 8 Char"/>
    <w:basedOn w:val="DefaultParagraphFont"/>
    <w:link w:val="Heading8"/>
    <w:uiPriority w:val="9"/>
    <w:semiHidden/>
    <w:rsid w:val="00387FA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87FA4"/>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4"/>
    <w:qFormat/>
    <w:rsid w:val="00D60CF8"/>
    <w:pPr>
      <w:ind w:left="720"/>
      <w:contextualSpacing/>
    </w:pPr>
  </w:style>
  <w:style w:type="character" w:styleId="CommentReference">
    <w:name w:val="annotation reference"/>
    <w:basedOn w:val="DefaultParagraphFont"/>
    <w:uiPriority w:val="99"/>
    <w:semiHidden/>
    <w:unhideWhenUsed/>
    <w:rsid w:val="00A268B6"/>
    <w:rPr>
      <w:sz w:val="16"/>
      <w:szCs w:val="16"/>
    </w:rPr>
  </w:style>
  <w:style w:type="paragraph" w:styleId="CommentText">
    <w:name w:val="annotation text"/>
    <w:basedOn w:val="Normal"/>
    <w:link w:val="CommentTextChar"/>
    <w:uiPriority w:val="99"/>
    <w:semiHidden/>
    <w:unhideWhenUsed/>
    <w:rsid w:val="00A268B6"/>
    <w:pPr>
      <w:spacing w:line="240" w:lineRule="auto"/>
    </w:pPr>
    <w:rPr>
      <w:sz w:val="20"/>
      <w:szCs w:val="20"/>
    </w:rPr>
  </w:style>
  <w:style w:type="character" w:customStyle="1" w:styleId="CommentTextChar">
    <w:name w:val="Comment Text Char"/>
    <w:basedOn w:val="DefaultParagraphFont"/>
    <w:link w:val="CommentText"/>
    <w:uiPriority w:val="99"/>
    <w:semiHidden/>
    <w:rsid w:val="00A268B6"/>
    <w:rPr>
      <w:rFonts w:ascii="EYInterstate Light" w:hAnsi="EYInterstate Light"/>
      <w:sz w:val="20"/>
      <w:szCs w:val="20"/>
    </w:rPr>
  </w:style>
  <w:style w:type="paragraph" w:styleId="CommentSubject">
    <w:name w:val="annotation subject"/>
    <w:basedOn w:val="CommentText"/>
    <w:next w:val="CommentText"/>
    <w:link w:val="CommentSubjectChar"/>
    <w:uiPriority w:val="99"/>
    <w:semiHidden/>
    <w:unhideWhenUsed/>
    <w:rsid w:val="00A268B6"/>
    <w:rPr>
      <w:b/>
      <w:bCs/>
    </w:rPr>
  </w:style>
  <w:style w:type="character" w:customStyle="1" w:styleId="CommentSubjectChar">
    <w:name w:val="Comment Subject Char"/>
    <w:basedOn w:val="CommentTextChar"/>
    <w:link w:val="CommentSubject"/>
    <w:uiPriority w:val="99"/>
    <w:semiHidden/>
    <w:rsid w:val="00A268B6"/>
    <w:rPr>
      <w:rFonts w:ascii="EYInterstate Light" w:hAnsi="EYInterstate Light"/>
      <w:b/>
      <w:bCs/>
      <w:sz w:val="20"/>
      <w:szCs w:val="20"/>
    </w:rPr>
  </w:style>
  <w:style w:type="paragraph" w:customStyle="1" w:styleId="TASFooterpagenumA4">
    <w:name w:val="TAS Footer page num A4"/>
    <w:basedOn w:val="Normal"/>
    <w:rsid w:val="009754FD"/>
    <w:pPr>
      <w:framePr w:w="504" w:h="187" w:hRule="exact" w:wrap="around" w:vAnchor="page" w:hAnchor="page" w:x="793" w:y="11003" w:anchorLock="1"/>
      <w:spacing w:line="240" w:lineRule="auto"/>
    </w:pPr>
    <w:rPr>
      <w:rFonts w:ascii="Arial" w:eastAsia="MS Mincho" w:hAnsi="Arial" w:cs="Arial"/>
      <w:color w:val="7F7E82"/>
      <w:sz w:val="16"/>
      <w:szCs w:val="16"/>
    </w:rPr>
  </w:style>
  <w:style w:type="paragraph" w:customStyle="1" w:styleId="TASSumFindingscolheading">
    <w:name w:val="TAS SumFindings col heading"/>
    <w:basedOn w:val="TASNormal"/>
    <w:rsid w:val="00F55543"/>
    <w:pPr>
      <w:spacing w:before="60" w:after="60"/>
    </w:pPr>
    <w:rPr>
      <w:b/>
      <w:color w:val="808080" w:themeColor="accent1"/>
    </w:rPr>
  </w:style>
  <w:style w:type="paragraph" w:customStyle="1" w:styleId="TASSumFindingspageref">
    <w:name w:val="TAS SumFindings page ref"/>
    <w:basedOn w:val="TASSumFindingscolheading"/>
    <w:rsid w:val="00F55543"/>
    <w:pPr>
      <w:ind w:right="14"/>
      <w:jc w:val="right"/>
    </w:pPr>
  </w:style>
  <w:style w:type="character" w:customStyle="1" w:styleId="Heading6Char">
    <w:name w:val="Heading 6 Char"/>
    <w:basedOn w:val="DefaultParagraphFont"/>
    <w:link w:val="Heading6"/>
    <w:uiPriority w:val="1"/>
    <w:rsid w:val="00DB2039"/>
    <w:rPr>
      <w:rFonts w:asciiTheme="majorHAnsi" w:eastAsiaTheme="majorEastAsia" w:hAnsiTheme="majorHAnsi" w:cstheme="majorBidi"/>
      <w:i/>
      <w:iCs/>
      <w:color w:val="3F3F3F" w:themeColor="accent1" w:themeShade="7F"/>
      <w:sz w:val="20"/>
    </w:rPr>
  </w:style>
  <w:style w:type="paragraph" w:styleId="NoSpacing">
    <w:name w:val="No Spacing"/>
    <w:uiPriority w:val="1"/>
    <w:rsid w:val="00DB2039"/>
    <w:pPr>
      <w:spacing w:after="0" w:line="240" w:lineRule="auto"/>
    </w:pPr>
  </w:style>
  <w:style w:type="paragraph" w:customStyle="1" w:styleId="TASFooterconfidentialUSland">
    <w:name w:val="TAS Footer confidential US land"/>
    <w:basedOn w:val="TASFooterconfidential"/>
    <w:rsid w:val="00DB2039"/>
    <w:pPr>
      <w:framePr w:w="4522" w:wrap="around" w:y="11334"/>
    </w:pPr>
  </w:style>
  <w:style w:type="paragraph" w:customStyle="1" w:styleId="TASFooterdatefieldUSland">
    <w:name w:val="TAS Footer date field US land"/>
    <w:basedOn w:val="TASFooterdatefield"/>
    <w:rsid w:val="00DB2039"/>
    <w:pPr>
      <w:framePr w:wrap="around" w:y="11334"/>
    </w:pPr>
  </w:style>
  <w:style w:type="paragraph" w:customStyle="1" w:styleId="TASFooterdraftUSland">
    <w:name w:val="TAS Footer draft US land"/>
    <w:basedOn w:val="TASFooterdraft"/>
    <w:rsid w:val="00DB2039"/>
    <w:pPr>
      <w:framePr w:w="4522" w:wrap="around" w:vAnchor="page" w:hAnchor="page" w:xAlign="center" w:y="11521" w:anchorLock="1"/>
      <w:jc w:val="center"/>
    </w:pPr>
    <w:rPr>
      <w:b/>
    </w:rPr>
  </w:style>
  <w:style w:type="paragraph" w:customStyle="1" w:styleId="TASFooterfilenameUSland">
    <w:name w:val="TAS Footer filename US land"/>
    <w:basedOn w:val="TASFooterfilename"/>
    <w:rsid w:val="00DB2039"/>
    <w:pPr>
      <w:framePr w:w="4018" w:hSpace="187" w:wrap="around" w:vAnchor="page" w:hAnchor="page" w:x="1441" w:y="11521" w:anchorLock="1"/>
    </w:pPr>
    <w:rPr>
      <w:szCs w:val="16"/>
    </w:rPr>
  </w:style>
  <w:style w:type="paragraph" w:customStyle="1" w:styleId="TASFooterlogoUSland">
    <w:name w:val="TAS Footer logo US land"/>
    <w:basedOn w:val="TASFooterlogo"/>
    <w:rsid w:val="00DB2039"/>
    <w:pPr>
      <w:framePr w:wrap="around" w:x="12903" w:y="11334"/>
    </w:pPr>
  </w:style>
  <w:style w:type="paragraph" w:customStyle="1" w:styleId="TASFooterpagenumUSland">
    <w:name w:val="TAS Footer page num US land"/>
    <w:basedOn w:val="TASFooterpagenum"/>
    <w:rsid w:val="00DB2039"/>
    <w:pPr>
      <w:framePr w:wrap="around" w:y="11334"/>
    </w:pPr>
  </w:style>
  <w:style w:type="paragraph" w:customStyle="1" w:styleId="wText">
    <w:name w:val="wText"/>
    <w:basedOn w:val="Normal"/>
    <w:link w:val="wTextChar"/>
    <w:uiPriority w:val="1"/>
    <w:qFormat/>
    <w:rsid w:val="00227943"/>
    <w:pPr>
      <w:spacing w:after="180" w:line="240" w:lineRule="auto"/>
      <w:jc w:val="both"/>
    </w:pPr>
    <w:rPr>
      <w:rFonts w:ascii="Times New Roman" w:eastAsia="MS Mincho" w:hAnsi="Times New Roman" w:cs="Times New Roman"/>
    </w:rPr>
  </w:style>
  <w:style w:type="character" w:customStyle="1" w:styleId="wTextChar">
    <w:name w:val="wText Char"/>
    <w:basedOn w:val="DefaultParagraphFont"/>
    <w:link w:val="wText"/>
    <w:uiPriority w:val="1"/>
    <w:rsid w:val="00227943"/>
    <w:rPr>
      <w:rFonts w:ascii="Times New Roman" w:eastAsia="MS Mincho" w:hAnsi="Times New Roman" w:cs="Times New Roman"/>
    </w:rPr>
  </w:style>
  <w:style w:type="paragraph" w:customStyle="1" w:styleId="WCPageNumber">
    <w:name w:val="WCPageNumber"/>
    <w:link w:val="WCPageNumberChar"/>
    <w:uiPriority w:val="99"/>
    <w:rsid w:val="00227943"/>
    <w:pPr>
      <w:spacing w:after="0" w:line="240" w:lineRule="auto"/>
    </w:pPr>
    <w:rPr>
      <w:rFonts w:ascii="Times New Roman" w:hAnsi="Times New Roman" w:cs="Times New Roman"/>
    </w:rPr>
  </w:style>
  <w:style w:type="character" w:customStyle="1" w:styleId="WCPageNumberChar">
    <w:name w:val="WCPageNumber Char"/>
    <w:basedOn w:val="DefaultParagraphFont"/>
    <w:link w:val="WCPageNumber"/>
    <w:uiPriority w:val="99"/>
    <w:rsid w:val="00227943"/>
    <w:rPr>
      <w:rFonts w:ascii="Times New Roman" w:hAnsi="Times New Roman" w:cs="Times New Roman"/>
    </w:rPr>
  </w:style>
  <w:style w:type="character" w:customStyle="1" w:styleId="Heading7Char">
    <w:name w:val="Heading 7 Char"/>
    <w:basedOn w:val="DefaultParagraphFont"/>
    <w:link w:val="Heading7"/>
    <w:uiPriority w:val="9"/>
    <w:rsid w:val="00C621D9"/>
    <w:rPr>
      <w:rFonts w:ascii="Times New Roman" w:eastAsia="MS Mincho" w:hAnsi="Times New Roman" w:cs="Times New Roman"/>
      <w:lang w:val="hu-HU"/>
    </w:rPr>
  </w:style>
  <w:style w:type="paragraph" w:styleId="Revision">
    <w:name w:val="Revision"/>
    <w:hidden/>
    <w:uiPriority w:val="99"/>
    <w:semiHidden/>
    <w:rsid w:val="00C621D9"/>
    <w:pPr>
      <w:spacing w:after="0" w:line="240" w:lineRule="auto"/>
    </w:pPr>
    <w:rPr>
      <w:sz w:val="20"/>
    </w:rPr>
  </w:style>
  <w:style w:type="character" w:customStyle="1" w:styleId="TASTextheading1Char">
    <w:name w:val="TAS Text heading 1 Char"/>
    <w:basedOn w:val="TASNormalchar"/>
    <w:link w:val="TASTextheading1"/>
    <w:rsid w:val="00C621D9"/>
    <w:rPr>
      <w:rFonts w:ascii="Arial" w:eastAsia="MS Mincho" w:hAnsi="Arial" w:cs="Arial"/>
      <w:b/>
      <w:bCs/>
      <w:color w:val="808080" w:themeColor="accent1"/>
      <w:sz w:val="20"/>
      <w:szCs w:val="20"/>
      <w:lang w:val="hu-HU" w:eastAsia="hu-HU"/>
    </w:rPr>
  </w:style>
  <w:style w:type="paragraph" w:customStyle="1" w:styleId="wText1">
    <w:name w:val="wText1"/>
    <w:basedOn w:val="Normal"/>
    <w:uiPriority w:val="2"/>
    <w:qFormat/>
    <w:rsid w:val="00C621D9"/>
    <w:pPr>
      <w:spacing w:after="240" w:line="240" w:lineRule="auto"/>
      <w:ind w:left="720"/>
      <w:jc w:val="both"/>
    </w:pPr>
    <w:rPr>
      <w:rFonts w:ascii="Times New Roman" w:eastAsia="MS Mincho" w:hAnsi="Times New Roman"/>
      <w:sz w:val="24"/>
    </w:rPr>
  </w:style>
  <w:style w:type="paragraph" w:styleId="NormalWeb">
    <w:name w:val="Normal (Web)"/>
    <w:basedOn w:val="Normal"/>
    <w:uiPriority w:val="99"/>
    <w:unhideWhenUsed/>
    <w:rsid w:val="00C621D9"/>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blzat-mtrix">
    <w:name w:val="táblázat - mátrix"/>
    <w:basedOn w:val="TableNormal"/>
    <w:uiPriority w:val="2"/>
    <w:qFormat/>
    <w:rsid w:val="001B29F9"/>
    <w:pPr>
      <w:spacing w:after="0" w:line="240" w:lineRule="auto"/>
      <w:contextualSpacing/>
    </w:pPr>
    <w:rPr>
      <w:rFonts w:asciiTheme="majorHAnsi" w:eastAsia="Calibri" w:hAnsiTheme="majorHAnsi"/>
      <w:sz w:val="20"/>
      <w:lang w:bidi="ar-SA"/>
    </w:rPr>
    <w:tblPr>
      <w:tblStyleRowBandSize w:val="1"/>
      <w:tblStyleColBandSize w:val="1"/>
      <w:tblBorders>
        <w:top w:val="single" w:sz="2" w:space="0" w:color="00A3AE" w:themeColor="accent5"/>
        <w:left w:val="single" w:sz="2" w:space="0" w:color="00A3AE" w:themeColor="accent5"/>
        <w:bottom w:val="single" w:sz="2" w:space="0" w:color="00A3AE" w:themeColor="accent5"/>
        <w:right w:val="single" w:sz="2" w:space="0" w:color="00A3AE" w:themeColor="accent5"/>
        <w:insideH w:val="single" w:sz="2" w:space="0" w:color="00A3AE" w:themeColor="accent5"/>
        <w:insideV w:val="single" w:sz="2" w:space="0" w:color="00A3AE" w:themeColor="accent5"/>
      </w:tblBorders>
      <w:tblCellMar>
        <w:top w:w="85" w:type="dxa"/>
      </w:tblCellMar>
    </w:tblPr>
    <w:tcPr>
      <w:shd w:val="clear" w:color="auto" w:fill="auto"/>
      <w:vAlign w:val="center"/>
    </w:tcPr>
    <w:tblStylePr w:type="firstRow">
      <w:rPr>
        <w:rFonts w:asciiTheme="majorHAnsi" w:hAnsiTheme="majorHAnsi"/>
        <w:sz w:val="20"/>
      </w:rPr>
      <w:tblPr/>
      <w:tcPr>
        <w:shd w:val="clear" w:color="auto" w:fill="646464" w:themeFill="background2"/>
      </w:tcPr>
    </w:tblStylePr>
    <w:tblStylePr w:type="firstCol">
      <w:pPr>
        <w:jc w:val="left"/>
      </w:pPr>
      <w:rPr>
        <w:rFonts w:asciiTheme="majorHAnsi" w:hAnsiTheme="majorHAnsi"/>
        <w:sz w:val="20"/>
      </w:rPr>
      <w:tblPr/>
      <w:tcPr>
        <w:shd w:val="clear" w:color="auto" w:fill="646464" w:themeFill="background2"/>
      </w:tcPr>
    </w:tblStylePr>
  </w:style>
  <w:style w:type="table" w:customStyle="1" w:styleId="tblzat-fejlces">
    <w:name w:val="táblázat - fejléces"/>
    <w:basedOn w:val="TableNormal"/>
    <w:uiPriority w:val="1"/>
    <w:qFormat/>
    <w:rsid w:val="001B29F9"/>
    <w:pPr>
      <w:spacing w:after="0" w:line="240" w:lineRule="auto"/>
      <w:contextualSpacing/>
    </w:pPr>
    <w:rPr>
      <w:rFonts w:asciiTheme="majorHAnsi" w:eastAsia="Calibri" w:hAnsiTheme="majorHAnsi"/>
      <w:sz w:val="20"/>
      <w:lang w:bidi="ar-SA"/>
    </w:rPr>
    <w:tblPr>
      <w:tblStyleRowBandSize w:val="1"/>
      <w:tblStyleColBandSize w:val="1"/>
      <w:tblBorders>
        <w:top w:val="single" w:sz="4" w:space="0" w:color="00A3AE" w:themeColor="accent5"/>
        <w:left w:val="single" w:sz="4" w:space="0" w:color="00A3AE" w:themeColor="accent5"/>
        <w:bottom w:val="single" w:sz="4" w:space="0" w:color="00A3AE" w:themeColor="accent5"/>
        <w:right w:val="single" w:sz="4" w:space="0" w:color="00A3AE" w:themeColor="accent5"/>
        <w:insideH w:val="single" w:sz="4" w:space="0" w:color="00A3AE" w:themeColor="accent5"/>
        <w:insideV w:val="single" w:sz="4" w:space="0" w:color="00A3AE" w:themeColor="accent5"/>
      </w:tblBorders>
    </w:tblPr>
    <w:tcPr>
      <w:shd w:val="clear" w:color="auto" w:fill="auto"/>
      <w:tcMar>
        <w:top w:w="85" w:type="dxa"/>
      </w:tcMar>
      <w:vAlign w:val="center"/>
    </w:tcPr>
    <w:tblStylePr w:type="firstRow">
      <w:rPr>
        <w:rFonts w:asciiTheme="majorHAnsi" w:hAnsiTheme="majorHAnsi"/>
        <w:sz w:val="20"/>
      </w:rPr>
      <w:tblPr/>
      <w:tcPr>
        <w:shd w:val="clear" w:color="auto" w:fill="646464" w:themeFill="background2"/>
      </w:tcPr>
    </w:tblStylePr>
    <w:tblStylePr w:type="firstCol">
      <w:rPr>
        <w:rFonts w:asciiTheme="majorHAnsi" w:hAnsiTheme="majorHAnsi"/>
        <w:sz w:val="20"/>
      </w:rPr>
    </w:tblStylePr>
  </w:style>
  <w:style w:type="table" w:customStyle="1" w:styleId="tblzat-oldallces">
    <w:name w:val="táblázat - oldalléces"/>
    <w:basedOn w:val="TableNormal"/>
    <w:uiPriority w:val="3"/>
    <w:qFormat/>
    <w:rsid w:val="001B29F9"/>
    <w:pPr>
      <w:spacing w:after="0" w:line="240" w:lineRule="auto"/>
      <w:contextualSpacing/>
    </w:pPr>
    <w:rPr>
      <w:rFonts w:asciiTheme="majorHAnsi" w:eastAsia="Calibri" w:hAnsiTheme="majorHAnsi"/>
      <w:sz w:val="20"/>
      <w:lang w:bidi="ar-SA"/>
    </w:rPr>
    <w:tblPr>
      <w:tblStyleRowBandSize w:val="1"/>
      <w:tblStyleColBandSize w:val="1"/>
      <w:tblBorders>
        <w:top w:val="single" w:sz="4" w:space="0" w:color="00A3AE" w:themeColor="accent5"/>
        <w:left w:val="single" w:sz="4" w:space="0" w:color="00A3AE" w:themeColor="accent5"/>
        <w:bottom w:val="single" w:sz="4" w:space="0" w:color="00A3AE" w:themeColor="accent5"/>
        <w:right w:val="single" w:sz="4" w:space="0" w:color="00A3AE" w:themeColor="accent5"/>
        <w:insideH w:val="single" w:sz="4" w:space="0" w:color="00A3AE" w:themeColor="accent5"/>
        <w:insideV w:val="single" w:sz="4" w:space="0" w:color="00A3AE" w:themeColor="accent5"/>
      </w:tblBorders>
    </w:tblPr>
    <w:tcPr>
      <w:shd w:val="clear" w:color="auto" w:fill="auto"/>
      <w:tcMar>
        <w:top w:w="85" w:type="dxa"/>
      </w:tcMar>
      <w:vAlign w:val="center"/>
    </w:tcPr>
    <w:tblStylePr w:type="firstRow">
      <w:rPr>
        <w:rFonts w:asciiTheme="majorHAnsi" w:hAnsiTheme="majorHAnsi"/>
        <w:sz w:val="20"/>
      </w:rPr>
    </w:tblStylePr>
    <w:tblStylePr w:type="firstCol">
      <w:rPr>
        <w:rFonts w:asciiTheme="majorHAnsi" w:hAnsiTheme="majorHAnsi"/>
        <w:sz w:val="20"/>
      </w:rPr>
      <w:tblPr/>
      <w:tcPr>
        <w:shd w:val="clear" w:color="auto" w:fill="646464" w:themeFill="background2"/>
      </w:tcPr>
    </w:tblStylePr>
  </w:style>
  <w:style w:type="character" w:styleId="EndnoteReference">
    <w:name w:val="endnote reference"/>
    <w:basedOn w:val="DefaultParagraphFont"/>
    <w:semiHidden/>
    <w:rsid w:val="001B29F9"/>
    <w:rPr>
      <w:vertAlign w:val="superscript"/>
    </w:rPr>
  </w:style>
  <w:style w:type="paragraph" w:customStyle="1" w:styleId="Magyarzszveg">
    <w:name w:val="Magyarázó szöveg"/>
    <w:basedOn w:val="Normal"/>
    <w:next w:val="Normal"/>
    <w:uiPriority w:val="7"/>
    <w:rsid w:val="001B29F9"/>
    <w:pPr>
      <w:spacing w:after="150"/>
      <w:jc w:val="both"/>
    </w:pPr>
    <w:rPr>
      <w:rFonts w:ascii="Calibri" w:hAnsi="Calibri"/>
      <w:color w:val="00A3AE" w:themeColor="accent5"/>
      <w:sz w:val="18"/>
      <w:lang w:bidi="ar-SA"/>
    </w:rPr>
  </w:style>
  <w:style w:type="paragraph" w:customStyle="1" w:styleId="Szmozs">
    <w:name w:val="Számozás"/>
    <w:basedOn w:val="Normal"/>
    <w:uiPriority w:val="4"/>
    <w:qFormat/>
    <w:rsid w:val="001B29F9"/>
    <w:pPr>
      <w:numPr>
        <w:numId w:val="57"/>
      </w:numPr>
      <w:spacing w:before="120" w:after="150"/>
      <w:contextualSpacing/>
      <w:jc w:val="both"/>
    </w:pPr>
    <w:rPr>
      <w:rFonts w:ascii="Calibri" w:hAnsi="Calibri"/>
      <w:sz w:val="20"/>
      <w:lang w:bidi="ar-SA"/>
    </w:rPr>
  </w:style>
  <w:style w:type="paragraph" w:styleId="Title">
    <w:name w:val="Title"/>
    <w:basedOn w:val="Normal"/>
    <w:next w:val="Normal"/>
    <w:link w:val="TitleChar"/>
    <w:uiPriority w:val="3"/>
    <w:qFormat/>
    <w:rsid w:val="001B29F9"/>
    <w:pPr>
      <w:spacing w:after="300"/>
      <w:contextualSpacing/>
      <w:jc w:val="both"/>
    </w:pPr>
    <w:rPr>
      <w:rFonts w:ascii="Calibri" w:eastAsiaTheme="majorEastAsia" w:hAnsi="Calibri" w:cstheme="majorBidi"/>
      <w:caps/>
      <w:color w:val="00A3AE" w:themeColor="accent5"/>
      <w:spacing w:val="5"/>
      <w:kern w:val="28"/>
      <w:sz w:val="24"/>
      <w:szCs w:val="52"/>
      <w:lang w:bidi="ar-SA"/>
    </w:rPr>
  </w:style>
  <w:style w:type="character" w:customStyle="1" w:styleId="TitleChar">
    <w:name w:val="Title Char"/>
    <w:basedOn w:val="DefaultParagraphFont"/>
    <w:link w:val="Title"/>
    <w:uiPriority w:val="3"/>
    <w:rsid w:val="001B29F9"/>
    <w:rPr>
      <w:rFonts w:ascii="Calibri" w:eastAsiaTheme="majorEastAsia" w:hAnsi="Calibri" w:cstheme="majorBidi"/>
      <w:caps/>
      <w:color w:val="00A3AE" w:themeColor="accent5"/>
      <w:spacing w:val="5"/>
      <w:kern w:val="28"/>
      <w:sz w:val="24"/>
      <w:szCs w:val="52"/>
      <w:lang w:bidi="ar-SA"/>
    </w:rPr>
  </w:style>
  <w:style w:type="numbering" w:customStyle="1" w:styleId="Style1">
    <w:name w:val="Style1"/>
    <w:uiPriority w:val="99"/>
    <w:rsid w:val="001B29F9"/>
    <w:pPr>
      <w:numPr>
        <w:numId w:val="55"/>
      </w:numPr>
    </w:pPr>
  </w:style>
  <w:style w:type="paragraph" w:styleId="TOC7">
    <w:name w:val="toc 7"/>
    <w:basedOn w:val="Normal"/>
    <w:next w:val="Normal"/>
    <w:autoRedefine/>
    <w:uiPriority w:val="99"/>
    <w:semiHidden/>
    <w:rsid w:val="001B29F9"/>
    <w:pPr>
      <w:spacing w:after="100"/>
      <w:ind w:left="1200"/>
      <w:jc w:val="both"/>
    </w:pPr>
    <w:rPr>
      <w:rFonts w:ascii="Calibri" w:hAnsi="Calibri"/>
      <w:color w:val="606060" w:themeColor="accent6" w:themeShade="80"/>
      <w:sz w:val="20"/>
      <w:lang w:bidi="ar-SA"/>
    </w:rPr>
  </w:style>
  <w:style w:type="paragraph" w:styleId="TOC8">
    <w:name w:val="toc 8"/>
    <w:basedOn w:val="Normal"/>
    <w:next w:val="Normal"/>
    <w:autoRedefine/>
    <w:uiPriority w:val="99"/>
    <w:semiHidden/>
    <w:rsid w:val="001B29F9"/>
    <w:pPr>
      <w:spacing w:after="100"/>
      <w:ind w:left="1400"/>
      <w:jc w:val="both"/>
    </w:pPr>
    <w:rPr>
      <w:rFonts w:ascii="Calibri" w:hAnsi="Calibri"/>
      <w:color w:val="606060" w:themeColor="accent6" w:themeShade="80"/>
      <w:sz w:val="20"/>
      <w:lang w:bidi="ar-SA"/>
    </w:rPr>
  </w:style>
  <w:style w:type="paragraph" w:styleId="TOC9">
    <w:name w:val="toc 9"/>
    <w:basedOn w:val="Normal"/>
    <w:next w:val="Normal"/>
    <w:autoRedefine/>
    <w:uiPriority w:val="99"/>
    <w:semiHidden/>
    <w:rsid w:val="001B29F9"/>
    <w:pPr>
      <w:spacing w:after="100"/>
      <w:ind w:left="1600"/>
      <w:jc w:val="both"/>
    </w:pPr>
    <w:rPr>
      <w:rFonts w:ascii="Calibri" w:hAnsi="Calibri"/>
      <w:color w:val="606060" w:themeColor="accent6" w:themeShade="80"/>
      <w:sz w:val="20"/>
      <w:lang w:bidi="ar-SA"/>
    </w:rPr>
  </w:style>
  <w:style w:type="table" w:customStyle="1" w:styleId="Calendar2">
    <w:name w:val="Calendar 2"/>
    <w:basedOn w:val="TableNormal"/>
    <w:uiPriority w:val="99"/>
    <w:qFormat/>
    <w:rsid w:val="001B29F9"/>
    <w:pPr>
      <w:spacing w:after="0" w:line="240" w:lineRule="auto"/>
      <w:jc w:val="center"/>
    </w:pPr>
    <w:rPr>
      <w:rFonts w:ascii="Verdana" w:eastAsiaTheme="minorEastAsia" w:hAnsi="Verdana"/>
      <w:sz w:val="20"/>
      <w:szCs w:val="28"/>
      <w:lang w:val="en-US" w:eastAsia="en-US" w:bidi="en-US"/>
    </w:rPr>
    <w:tblPr>
      <w:tblBorders>
        <w:insideV w:val="single" w:sz="4" w:space="0" w:color="B2B2B2" w:themeColor="accent1" w:themeTint="99"/>
      </w:tblBorders>
    </w:tblPr>
    <w:tblStylePr w:type="firstRow">
      <w:rPr>
        <w:rFonts w:asciiTheme="majorHAnsi" w:eastAsiaTheme="majorEastAsia" w:hAnsiTheme="majorHAnsi" w:cstheme="majorBidi"/>
        <w:caps/>
        <w:color w:val="808080" w:themeColor="accent1"/>
        <w:spacing w:val="20"/>
        <w:sz w:val="32"/>
        <w:szCs w:val="32"/>
      </w:rPr>
      <w:tblPr/>
      <w:tcPr>
        <w:tcBorders>
          <w:top w:val="nil"/>
          <w:left w:val="nil"/>
          <w:bottom w:val="nil"/>
          <w:right w:val="nil"/>
          <w:insideH w:val="nil"/>
          <w:insideV w:val="nil"/>
          <w:tl2br w:val="nil"/>
          <w:tr2bl w:val="nil"/>
        </w:tcBorders>
      </w:tcPr>
    </w:tblStylePr>
  </w:style>
  <w:style w:type="character" w:styleId="SubtleEmphasis">
    <w:name w:val="Subtle Emphasis"/>
    <w:basedOn w:val="DefaultParagraphFont"/>
    <w:uiPriority w:val="19"/>
    <w:qFormat/>
    <w:rsid w:val="001B29F9"/>
    <w:rPr>
      <w:rFonts w:ascii="Calibri" w:eastAsiaTheme="minorEastAsia" w:hAnsi="Calibri" w:cstheme="minorBidi"/>
      <w:bCs w:val="0"/>
      <w:i/>
      <w:iCs/>
      <w:color w:val="808080" w:themeColor="text1" w:themeTint="7F"/>
      <w:sz w:val="20"/>
      <w:szCs w:val="22"/>
      <w:lang w:val="hu-HU"/>
    </w:rPr>
  </w:style>
  <w:style w:type="table" w:customStyle="1" w:styleId="LightShading-Accent11">
    <w:name w:val="Light Shading - Accent 11"/>
    <w:basedOn w:val="TableNormal"/>
    <w:uiPriority w:val="60"/>
    <w:rsid w:val="001B29F9"/>
    <w:pPr>
      <w:spacing w:after="0" w:line="240" w:lineRule="auto"/>
    </w:pPr>
    <w:rPr>
      <w:rFonts w:ascii="Verdana" w:eastAsiaTheme="minorEastAsia" w:hAnsi="Verdana"/>
      <w:color w:val="5F5F5F" w:themeColor="accent1" w:themeShade="BF"/>
      <w:sz w:val="20"/>
      <w:lang w:eastAsia="en-US" w:bidi="ar-SA"/>
    </w:rPr>
    <w:tblPr>
      <w:tblStyleRowBandSize w:val="1"/>
      <w:tblStyleColBandSize w:val="1"/>
      <w:tblBorders>
        <w:top w:val="single" w:sz="8" w:space="0" w:color="808080" w:themeColor="accent1"/>
        <w:bottom w:val="single" w:sz="8" w:space="0" w:color="808080" w:themeColor="accent1"/>
      </w:tblBorders>
    </w:tblPr>
    <w:tblStylePr w:type="firstRow">
      <w:pPr>
        <w:spacing w:before="0" w:after="0" w:line="240" w:lineRule="auto"/>
      </w:pPr>
      <w:rPr>
        <w:b/>
        <w:bCs/>
      </w:rPr>
      <w:tblPr/>
      <w:tcPr>
        <w:tcBorders>
          <w:top w:val="single" w:sz="8" w:space="0" w:color="808080" w:themeColor="accent1"/>
          <w:left w:val="nil"/>
          <w:bottom w:val="single" w:sz="8" w:space="0" w:color="808080" w:themeColor="accent1"/>
          <w:right w:val="nil"/>
          <w:insideH w:val="nil"/>
          <w:insideV w:val="nil"/>
        </w:tcBorders>
      </w:tcPr>
    </w:tblStylePr>
    <w:tblStylePr w:type="lastRow">
      <w:pPr>
        <w:spacing w:before="0" w:after="0" w:line="240" w:lineRule="auto"/>
      </w:pPr>
      <w:rPr>
        <w:b/>
        <w:bCs/>
      </w:rPr>
      <w:tblPr/>
      <w:tcPr>
        <w:tcBorders>
          <w:top w:val="single" w:sz="8" w:space="0" w:color="808080" w:themeColor="accent1"/>
          <w:left w:val="nil"/>
          <w:bottom w:val="single" w:sz="8" w:space="0" w:color="80808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1" w:themeFillTint="3F"/>
      </w:tcPr>
    </w:tblStylePr>
    <w:tblStylePr w:type="band1Horz">
      <w:tblPr/>
      <w:tcPr>
        <w:tcBorders>
          <w:left w:val="nil"/>
          <w:right w:val="nil"/>
          <w:insideH w:val="nil"/>
          <w:insideV w:val="nil"/>
        </w:tcBorders>
        <w:shd w:val="clear" w:color="auto" w:fill="DFDFDF" w:themeFill="accent1" w:themeFillTint="3F"/>
      </w:tcPr>
    </w:tblStylePr>
  </w:style>
  <w:style w:type="paragraph" w:styleId="Caption">
    <w:name w:val="caption"/>
    <w:basedOn w:val="Normal"/>
    <w:next w:val="Normal"/>
    <w:uiPriority w:val="35"/>
    <w:unhideWhenUsed/>
    <w:qFormat/>
    <w:rsid w:val="001B29F9"/>
    <w:pPr>
      <w:spacing w:after="200"/>
    </w:pPr>
    <w:rPr>
      <w:rFonts w:ascii="Calibri" w:hAnsi="Calibri"/>
      <w:b/>
      <w:bCs/>
      <w:color w:val="FFFFFF" w:themeColor="text2"/>
      <w:sz w:val="18"/>
      <w:szCs w:val="18"/>
      <w:lang w:bidi="ar-SA"/>
    </w:rPr>
  </w:style>
  <w:style w:type="paragraph" w:styleId="EndnoteText">
    <w:name w:val="endnote text"/>
    <w:basedOn w:val="Normal"/>
    <w:link w:val="EndnoteTextChar"/>
    <w:uiPriority w:val="99"/>
    <w:semiHidden/>
    <w:unhideWhenUsed/>
    <w:rsid w:val="001B29F9"/>
    <w:pPr>
      <w:spacing w:after="150"/>
      <w:jc w:val="both"/>
    </w:pPr>
    <w:rPr>
      <w:rFonts w:ascii="Calibri" w:hAnsi="Calibri"/>
      <w:color w:val="606060" w:themeColor="accent6" w:themeShade="80"/>
      <w:sz w:val="20"/>
      <w:szCs w:val="20"/>
      <w:lang w:bidi="ar-SA"/>
    </w:rPr>
  </w:style>
  <w:style w:type="character" w:customStyle="1" w:styleId="EndnoteTextChar">
    <w:name w:val="Endnote Text Char"/>
    <w:basedOn w:val="DefaultParagraphFont"/>
    <w:link w:val="EndnoteText"/>
    <w:uiPriority w:val="99"/>
    <w:semiHidden/>
    <w:rsid w:val="001B29F9"/>
    <w:rPr>
      <w:rFonts w:ascii="Calibri" w:hAnsi="Calibri"/>
      <w:color w:val="606060" w:themeColor="accent6" w:themeShade="80"/>
      <w:sz w:val="20"/>
      <w:szCs w:val="20"/>
      <w:lang w:bidi="ar-SA"/>
    </w:rPr>
  </w:style>
  <w:style w:type="table" w:customStyle="1" w:styleId="Vilgosrnykols1jellszn1">
    <w:name w:val="Világos árnyékolás – 1. jelölőszín1"/>
    <w:basedOn w:val="TableNormal"/>
    <w:uiPriority w:val="60"/>
    <w:rsid w:val="001B29F9"/>
    <w:pPr>
      <w:spacing w:after="0" w:line="240" w:lineRule="auto"/>
    </w:pPr>
    <w:rPr>
      <w:rFonts w:ascii="Verdana" w:hAnsi="Verdana"/>
      <w:color w:val="5F5F5F" w:themeColor="accent1" w:themeShade="BF"/>
      <w:sz w:val="20"/>
      <w:lang w:bidi="ar-SA"/>
    </w:rPr>
    <w:tblPr>
      <w:tblStyleRowBandSize w:val="1"/>
      <w:tblStyleColBandSize w:val="1"/>
      <w:tblBorders>
        <w:top w:val="single" w:sz="8" w:space="0" w:color="808080" w:themeColor="accent1"/>
        <w:bottom w:val="single" w:sz="8" w:space="0" w:color="808080" w:themeColor="accent1"/>
      </w:tblBorders>
    </w:tblPr>
    <w:tblStylePr w:type="firstRow">
      <w:pPr>
        <w:spacing w:before="0" w:after="0" w:line="240" w:lineRule="auto"/>
      </w:pPr>
      <w:rPr>
        <w:b/>
        <w:bCs/>
      </w:rPr>
      <w:tblPr/>
      <w:tcPr>
        <w:tcBorders>
          <w:top w:val="single" w:sz="8" w:space="0" w:color="808080" w:themeColor="accent1"/>
          <w:left w:val="nil"/>
          <w:bottom w:val="single" w:sz="8" w:space="0" w:color="808080" w:themeColor="accent1"/>
          <w:right w:val="nil"/>
          <w:insideH w:val="nil"/>
          <w:insideV w:val="nil"/>
        </w:tcBorders>
      </w:tcPr>
    </w:tblStylePr>
    <w:tblStylePr w:type="lastRow">
      <w:pPr>
        <w:spacing w:before="0" w:after="0" w:line="240" w:lineRule="auto"/>
      </w:pPr>
      <w:rPr>
        <w:b/>
        <w:bCs/>
      </w:rPr>
      <w:tblPr/>
      <w:tcPr>
        <w:tcBorders>
          <w:top w:val="single" w:sz="8" w:space="0" w:color="808080" w:themeColor="accent1"/>
          <w:left w:val="nil"/>
          <w:bottom w:val="single" w:sz="8" w:space="0" w:color="80808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1" w:themeFillTint="3F"/>
      </w:tcPr>
    </w:tblStylePr>
    <w:tblStylePr w:type="band1Horz">
      <w:tblPr/>
      <w:tcPr>
        <w:tcBorders>
          <w:left w:val="nil"/>
          <w:right w:val="nil"/>
          <w:insideH w:val="nil"/>
          <w:insideV w:val="nil"/>
        </w:tcBorders>
        <w:shd w:val="clear" w:color="auto" w:fill="DFDFDF" w:themeFill="accent1" w:themeFillTint="3F"/>
      </w:tcPr>
    </w:tblStylePr>
  </w:style>
  <w:style w:type="paragraph" w:customStyle="1" w:styleId="Listaszerbekezds2">
    <w:name w:val="Listaszerű bekezdés 2"/>
    <w:basedOn w:val="ListParagraph"/>
    <w:link w:val="Listaszerbekezds2Char"/>
    <w:uiPriority w:val="4"/>
    <w:qFormat/>
    <w:rsid w:val="001B29F9"/>
    <w:pPr>
      <w:numPr>
        <w:numId w:val="58"/>
      </w:numPr>
      <w:spacing w:after="150"/>
      <w:jc w:val="both"/>
    </w:pPr>
    <w:rPr>
      <w:sz w:val="20"/>
      <w:lang w:bidi="ar-SA"/>
    </w:rPr>
  </w:style>
  <w:style w:type="paragraph" w:customStyle="1" w:styleId="Tblaszvegstlus">
    <w:name w:val="Tábla szöveg stílus"/>
    <w:basedOn w:val="Normal"/>
    <w:link w:val="TblaszvegstlusChar"/>
    <w:uiPriority w:val="8"/>
    <w:qFormat/>
    <w:rsid w:val="001B29F9"/>
    <w:pPr>
      <w:spacing w:after="150"/>
      <w:jc w:val="both"/>
    </w:pPr>
    <w:rPr>
      <w:rFonts w:ascii="Calibri" w:hAnsi="Calibri"/>
      <w:sz w:val="20"/>
      <w:lang w:bidi="ar-SA"/>
    </w:rPr>
  </w:style>
  <w:style w:type="character" w:customStyle="1" w:styleId="ListParagraphChar">
    <w:name w:val="List Paragraph Char"/>
    <w:basedOn w:val="DefaultParagraphFont"/>
    <w:link w:val="ListParagraph"/>
    <w:uiPriority w:val="4"/>
    <w:rsid w:val="001B29F9"/>
    <w:rPr>
      <w:rFonts w:ascii="EYInterstate Light" w:hAnsi="EYInterstate Light"/>
    </w:rPr>
  </w:style>
  <w:style w:type="character" w:customStyle="1" w:styleId="Listaszerbekezds2Char">
    <w:name w:val="Listaszerű bekezdés 2 Char"/>
    <w:basedOn w:val="ListParagraphChar"/>
    <w:link w:val="Listaszerbekezds2"/>
    <w:uiPriority w:val="4"/>
    <w:rsid w:val="001B29F9"/>
    <w:rPr>
      <w:rFonts w:ascii="EYInterstate Light" w:hAnsi="EYInterstate Light"/>
      <w:sz w:val="20"/>
      <w:lang w:bidi="ar-SA"/>
    </w:rPr>
  </w:style>
  <w:style w:type="character" w:customStyle="1" w:styleId="TblaszvegstlusChar">
    <w:name w:val="Tábla szöveg stílus Char"/>
    <w:basedOn w:val="DefaultParagraphFont"/>
    <w:link w:val="Tblaszvegstlus"/>
    <w:uiPriority w:val="8"/>
    <w:rsid w:val="001B29F9"/>
    <w:rPr>
      <w:rFonts w:ascii="Calibri" w:hAnsi="Calibri"/>
      <w:sz w:val="20"/>
      <w:lang w:bidi="ar-SA"/>
    </w:rPr>
  </w:style>
  <w:style w:type="character" w:styleId="SubtleReference">
    <w:name w:val="Subtle Reference"/>
    <w:basedOn w:val="DefaultParagraphFont"/>
    <w:uiPriority w:val="31"/>
    <w:rsid w:val="001B29F9"/>
    <w:rPr>
      <w:sz w:val="24"/>
      <w:szCs w:val="24"/>
      <w:u w:val="single"/>
    </w:rPr>
  </w:style>
  <w:style w:type="character" w:styleId="IntenseReference">
    <w:name w:val="Intense Reference"/>
    <w:basedOn w:val="DefaultParagraphFont"/>
    <w:uiPriority w:val="32"/>
    <w:rsid w:val="001B29F9"/>
    <w:rPr>
      <w:b/>
      <w:sz w:val="24"/>
      <w:u w:val="single"/>
    </w:rPr>
  </w:style>
  <w:style w:type="paragraph" w:customStyle="1" w:styleId="Listaszerbekezds2szint">
    <w:name w:val="Listaszerű bekezdés 2. szint"/>
    <w:basedOn w:val="ListParagraph"/>
    <w:link w:val="Listaszerbekezds2szintChar"/>
    <w:uiPriority w:val="4"/>
    <w:qFormat/>
    <w:rsid w:val="001B29F9"/>
    <w:pPr>
      <w:numPr>
        <w:numId w:val="60"/>
      </w:numPr>
      <w:spacing w:after="150"/>
      <w:jc w:val="both"/>
    </w:pPr>
    <w:rPr>
      <w:rFonts w:ascii="Calibri" w:hAnsi="Calibri"/>
      <w:sz w:val="20"/>
      <w:lang w:bidi="ar-SA"/>
    </w:rPr>
  </w:style>
  <w:style w:type="paragraph" w:customStyle="1" w:styleId="Listaszerbekezds3szint">
    <w:name w:val="Listaszerű bekezdés 3. szint"/>
    <w:basedOn w:val="ListParagraph"/>
    <w:link w:val="Listaszerbekezds3szintChar"/>
    <w:uiPriority w:val="4"/>
    <w:qFormat/>
    <w:rsid w:val="001B29F9"/>
    <w:pPr>
      <w:spacing w:after="150"/>
      <w:ind w:left="2160" w:hanging="360"/>
      <w:jc w:val="both"/>
    </w:pPr>
    <w:rPr>
      <w:rFonts w:ascii="Calibri" w:hAnsi="Calibri"/>
      <w:sz w:val="20"/>
      <w:lang w:bidi="ar-SA"/>
    </w:rPr>
  </w:style>
  <w:style w:type="character" w:customStyle="1" w:styleId="Listaszerbekezds2szintChar">
    <w:name w:val="Listaszerű bekezdés 2. szint Char"/>
    <w:basedOn w:val="ListParagraphChar"/>
    <w:link w:val="Listaszerbekezds2szint"/>
    <w:uiPriority w:val="4"/>
    <w:rsid w:val="001B29F9"/>
    <w:rPr>
      <w:rFonts w:ascii="Calibri" w:hAnsi="Calibri"/>
      <w:sz w:val="20"/>
      <w:lang w:bidi="ar-SA"/>
    </w:rPr>
  </w:style>
  <w:style w:type="character" w:customStyle="1" w:styleId="Listaszerbekezds3szintChar">
    <w:name w:val="Listaszerű bekezdés 3. szint Char"/>
    <w:basedOn w:val="ListParagraphChar"/>
    <w:link w:val="Listaszerbekezds3szint"/>
    <w:uiPriority w:val="4"/>
    <w:rsid w:val="001B29F9"/>
    <w:rPr>
      <w:rFonts w:ascii="Calibri" w:hAnsi="Calibri"/>
      <w:sz w:val="20"/>
      <w:lang w:bidi="ar-SA"/>
    </w:rPr>
  </w:style>
  <w:style w:type="paragraph" w:styleId="Subtitle">
    <w:name w:val="Subtitle"/>
    <w:basedOn w:val="Normal"/>
    <w:next w:val="Normal"/>
    <w:link w:val="SubtitleChar"/>
    <w:uiPriority w:val="11"/>
    <w:rsid w:val="001B29F9"/>
    <w:pPr>
      <w:spacing w:after="60"/>
      <w:jc w:val="center"/>
      <w:outlineLvl w:val="1"/>
    </w:pPr>
    <w:rPr>
      <w:rFonts w:ascii="Calibri" w:eastAsiaTheme="majorEastAsia" w:hAnsi="Calibri" w:cstheme="majorBidi"/>
      <w:sz w:val="20"/>
      <w:lang w:bidi="ar-SA"/>
    </w:rPr>
  </w:style>
  <w:style w:type="character" w:customStyle="1" w:styleId="SubtitleChar">
    <w:name w:val="Subtitle Char"/>
    <w:basedOn w:val="DefaultParagraphFont"/>
    <w:link w:val="Subtitle"/>
    <w:uiPriority w:val="11"/>
    <w:rsid w:val="001B29F9"/>
    <w:rPr>
      <w:rFonts w:ascii="Calibri" w:eastAsiaTheme="majorEastAsia" w:hAnsi="Calibri" w:cstheme="majorBidi"/>
      <w:sz w:val="20"/>
      <w:lang w:bidi="ar-SA"/>
    </w:rPr>
  </w:style>
  <w:style w:type="paragraph" w:customStyle="1" w:styleId="Listabetvel">
    <w:name w:val="Lista betűvel"/>
    <w:basedOn w:val="ListParagraph"/>
    <w:link w:val="ListabetvelChar"/>
    <w:uiPriority w:val="4"/>
    <w:qFormat/>
    <w:rsid w:val="001B29F9"/>
    <w:pPr>
      <w:numPr>
        <w:numId w:val="59"/>
      </w:numPr>
      <w:spacing w:after="150"/>
      <w:jc w:val="both"/>
    </w:pPr>
    <w:rPr>
      <w:rFonts w:ascii="Calibri" w:hAnsi="Calibri"/>
      <w:sz w:val="20"/>
      <w:lang w:bidi="ar-SA"/>
    </w:rPr>
  </w:style>
  <w:style w:type="character" w:customStyle="1" w:styleId="ListabetvelChar">
    <w:name w:val="Lista betűvel Char"/>
    <w:basedOn w:val="ListParagraphChar"/>
    <w:link w:val="Listabetvel"/>
    <w:uiPriority w:val="4"/>
    <w:rsid w:val="001B29F9"/>
    <w:rPr>
      <w:rFonts w:ascii="Calibri" w:hAnsi="Calibri"/>
      <w:sz w:val="20"/>
      <w:lang w:bidi="ar-SA"/>
    </w:rPr>
  </w:style>
  <w:style w:type="paragraph" w:customStyle="1" w:styleId="Erskiemels">
    <w:name w:val="Erős kiemelés"/>
    <w:basedOn w:val="Normal"/>
    <w:link w:val="ErskiemelsChar"/>
    <w:uiPriority w:val="5"/>
    <w:qFormat/>
    <w:rsid w:val="001B29F9"/>
    <w:pPr>
      <w:spacing w:after="150"/>
      <w:jc w:val="both"/>
    </w:pPr>
    <w:rPr>
      <w:rFonts w:ascii="Calibri" w:hAnsi="Calibri"/>
      <w:b/>
      <w:i/>
      <w:sz w:val="20"/>
      <w:lang w:bidi="ar-SA"/>
    </w:rPr>
  </w:style>
  <w:style w:type="character" w:customStyle="1" w:styleId="ErskiemelsChar">
    <w:name w:val="Erős kiemelés Char"/>
    <w:basedOn w:val="DefaultParagraphFont"/>
    <w:link w:val="Erskiemels"/>
    <w:uiPriority w:val="5"/>
    <w:rsid w:val="001B29F9"/>
    <w:rPr>
      <w:rFonts w:ascii="Calibri" w:hAnsi="Calibri"/>
      <w:b/>
      <w:i/>
      <w:sz w:val="20"/>
      <w:lang w:bidi="ar-SA"/>
    </w:rPr>
  </w:style>
  <w:style w:type="paragraph" w:customStyle="1" w:styleId="Bold">
    <w:name w:val="Bold"/>
    <w:basedOn w:val="Normal"/>
    <w:link w:val="BoldChar"/>
    <w:uiPriority w:val="6"/>
    <w:qFormat/>
    <w:rsid w:val="001B29F9"/>
    <w:pPr>
      <w:spacing w:after="150"/>
      <w:jc w:val="both"/>
    </w:pPr>
    <w:rPr>
      <w:rFonts w:ascii="Calibri" w:hAnsi="Calibri"/>
      <w:b/>
      <w:sz w:val="20"/>
      <w:lang w:bidi="ar-SA"/>
    </w:rPr>
  </w:style>
  <w:style w:type="character" w:customStyle="1" w:styleId="BoldChar">
    <w:name w:val="Bold Char"/>
    <w:basedOn w:val="DefaultParagraphFont"/>
    <w:link w:val="Bold"/>
    <w:uiPriority w:val="6"/>
    <w:rsid w:val="001B29F9"/>
    <w:rPr>
      <w:rFonts w:ascii="Calibri" w:hAnsi="Calibri"/>
      <w:b/>
      <w:sz w:val="20"/>
      <w:lang w:bidi="ar-SA"/>
    </w:rPr>
  </w:style>
  <w:style w:type="character" w:styleId="FollowedHyperlink">
    <w:name w:val="FollowedHyperlink"/>
    <w:basedOn w:val="DefaultParagraphFont"/>
    <w:uiPriority w:val="99"/>
    <w:semiHidden/>
    <w:unhideWhenUsed/>
    <w:rsid w:val="001B29F9"/>
    <w:rPr>
      <w:color w:val="91278F" w:themeColor="followedHyperlink"/>
      <w:u w:val="single"/>
    </w:rPr>
  </w:style>
  <w:style w:type="paragraph" w:styleId="TOCHeading">
    <w:name w:val="TOC Heading"/>
    <w:basedOn w:val="Heading1"/>
    <w:next w:val="Normal"/>
    <w:uiPriority w:val="39"/>
    <w:unhideWhenUsed/>
    <w:qFormat/>
    <w:rsid w:val="001B29F9"/>
    <w:pPr>
      <w:spacing w:before="480"/>
      <w:outlineLvl w:val="9"/>
    </w:pPr>
    <w:rPr>
      <w:rFonts w:ascii="Calibri" w:hAnsi="Calibri"/>
      <w:color w:val="00A3AE" w:themeColor="accent5"/>
      <w:sz w:val="24"/>
      <w:lang w:bidi="ar-SA"/>
    </w:rPr>
  </w:style>
  <w:style w:type="paragraph" w:customStyle="1" w:styleId="StyleTOC2Left015">
    <w:name w:val="Style TOC 2 + Left:  0.15&quot;"/>
    <w:basedOn w:val="TOC2"/>
    <w:rsid w:val="001B29F9"/>
    <w:pPr>
      <w:tabs>
        <w:tab w:val="clear" w:pos="10325"/>
      </w:tabs>
      <w:spacing w:after="100" w:line="276" w:lineRule="auto"/>
      <w:ind w:left="216" w:right="0"/>
    </w:pPr>
    <w:rPr>
      <w:rFonts w:ascii="Calibri" w:eastAsia="Times New Roman" w:hAnsi="Calibri" w:cs="Times New Roman"/>
      <w:b w:val="0"/>
      <w:color w:val="auto"/>
      <w:sz w:val="20"/>
      <w:lang w:bidi="ar-SA"/>
    </w:rPr>
  </w:style>
  <w:style w:type="paragraph" w:customStyle="1" w:styleId="StyleTOC3Left031">
    <w:name w:val="Style TOC 3 + Left:  0.31&quot;"/>
    <w:basedOn w:val="TOC3"/>
    <w:rsid w:val="001B29F9"/>
    <w:pPr>
      <w:numPr>
        <w:numId w:val="0"/>
      </w:numPr>
      <w:tabs>
        <w:tab w:val="clear" w:pos="10325"/>
      </w:tabs>
      <w:spacing w:after="100" w:line="276" w:lineRule="auto"/>
      <w:ind w:left="446" w:right="0"/>
      <w:jc w:val="both"/>
    </w:pPr>
    <w:rPr>
      <w:rFonts w:ascii="Calibri" w:eastAsia="Times New Roman" w:hAnsi="Calibri" w:cs="Times New Roman"/>
      <w:lang w:bidi="ar-SA"/>
    </w:rPr>
  </w:style>
  <w:style w:type="numbering" w:customStyle="1" w:styleId="Hierarchikuslista">
    <w:name w:val="Hierarchikus lista"/>
    <w:uiPriority w:val="99"/>
    <w:rsid w:val="001B29F9"/>
    <w:pPr>
      <w:numPr>
        <w:numId w:val="56"/>
      </w:numPr>
    </w:pPr>
  </w:style>
  <w:style w:type="paragraph" w:customStyle="1" w:styleId="HierarchikusLista0">
    <w:name w:val="Hierarchikus Lista"/>
    <w:basedOn w:val="ListParagraph"/>
    <w:link w:val="HierarchikusListaChar"/>
    <w:qFormat/>
    <w:rsid w:val="001B29F9"/>
    <w:pPr>
      <w:spacing w:after="150"/>
      <w:ind w:left="0"/>
      <w:jc w:val="both"/>
    </w:pPr>
    <w:rPr>
      <w:rFonts w:ascii="Calibri" w:hAnsi="Calibri"/>
      <w:sz w:val="20"/>
      <w:lang w:bidi="ar-SA"/>
    </w:rPr>
  </w:style>
  <w:style w:type="character" w:customStyle="1" w:styleId="HierarchikusListaChar">
    <w:name w:val="Hierarchikus Lista Char"/>
    <w:basedOn w:val="ListParagraphChar"/>
    <w:link w:val="HierarchikusLista0"/>
    <w:rsid w:val="001B29F9"/>
    <w:rPr>
      <w:rFonts w:ascii="Calibri" w:hAnsi="Calibri"/>
      <w:sz w:val="20"/>
      <w:lang w:bidi="ar-SA"/>
    </w:rPr>
  </w:style>
  <w:style w:type="character" w:styleId="Strong">
    <w:name w:val="Strong"/>
    <w:basedOn w:val="DefaultParagraphFont"/>
    <w:uiPriority w:val="22"/>
    <w:rsid w:val="001B29F9"/>
    <w:rPr>
      <w:b/>
      <w:bCs/>
    </w:rPr>
  </w:style>
  <w:style w:type="character" w:styleId="Emphasis">
    <w:name w:val="Emphasis"/>
    <w:basedOn w:val="DefaultParagraphFont"/>
    <w:uiPriority w:val="6"/>
    <w:qFormat/>
    <w:rsid w:val="001B29F9"/>
    <w:rPr>
      <w:i/>
      <w:iCs/>
    </w:rPr>
  </w:style>
  <w:style w:type="paragraph" w:styleId="Quote">
    <w:name w:val="Quote"/>
    <w:basedOn w:val="Normal"/>
    <w:next w:val="Normal"/>
    <w:link w:val="QuoteChar"/>
    <w:uiPriority w:val="29"/>
    <w:rsid w:val="001B29F9"/>
    <w:pPr>
      <w:spacing w:after="150"/>
      <w:jc w:val="both"/>
    </w:pPr>
    <w:rPr>
      <w:rFonts w:ascii="Calibri" w:hAnsi="Calibri"/>
      <w:i/>
      <w:sz w:val="20"/>
      <w:lang w:bidi="ar-SA"/>
    </w:rPr>
  </w:style>
  <w:style w:type="character" w:customStyle="1" w:styleId="QuoteChar">
    <w:name w:val="Quote Char"/>
    <w:basedOn w:val="DefaultParagraphFont"/>
    <w:link w:val="Quote"/>
    <w:uiPriority w:val="29"/>
    <w:rsid w:val="001B29F9"/>
    <w:rPr>
      <w:rFonts w:ascii="Calibri" w:hAnsi="Calibri"/>
      <w:i/>
      <w:sz w:val="20"/>
      <w:lang w:bidi="ar-SA"/>
    </w:rPr>
  </w:style>
  <w:style w:type="paragraph" w:styleId="IntenseQuote">
    <w:name w:val="Intense Quote"/>
    <w:basedOn w:val="Normal"/>
    <w:next w:val="Normal"/>
    <w:link w:val="IntenseQuoteChar"/>
    <w:uiPriority w:val="30"/>
    <w:rsid w:val="001B29F9"/>
    <w:pPr>
      <w:spacing w:after="150"/>
      <w:ind w:left="720" w:right="720"/>
      <w:jc w:val="both"/>
    </w:pPr>
    <w:rPr>
      <w:rFonts w:ascii="Calibri" w:hAnsi="Calibri"/>
      <w:b/>
      <w:i/>
      <w:sz w:val="20"/>
      <w:lang w:bidi="ar-SA"/>
    </w:rPr>
  </w:style>
  <w:style w:type="character" w:customStyle="1" w:styleId="IntenseQuoteChar">
    <w:name w:val="Intense Quote Char"/>
    <w:basedOn w:val="DefaultParagraphFont"/>
    <w:link w:val="IntenseQuote"/>
    <w:uiPriority w:val="30"/>
    <w:rsid w:val="001B29F9"/>
    <w:rPr>
      <w:rFonts w:ascii="Calibri" w:hAnsi="Calibri"/>
      <w:b/>
      <w:i/>
      <w:sz w:val="20"/>
      <w:lang w:bidi="ar-SA"/>
    </w:rPr>
  </w:style>
  <w:style w:type="character" w:styleId="IntenseEmphasis">
    <w:name w:val="Intense Emphasis"/>
    <w:basedOn w:val="DefaultParagraphFont"/>
    <w:uiPriority w:val="21"/>
    <w:rsid w:val="001B29F9"/>
    <w:rPr>
      <w:b/>
      <w:i/>
      <w:sz w:val="24"/>
      <w:szCs w:val="24"/>
      <w:u w:val="single"/>
    </w:rPr>
  </w:style>
  <w:style w:type="character" w:styleId="BookTitle">
    <w:name w:val="Book Title"/>
    <w:basedOn w:val="DefaultParagraphFont"/>
    <w:uiPriority w:val="33"/>
    <w:rsid w:val="001B29F9"/>
    <w:rPr>
      <w:rFonts w:ascii="Calibri" w:eastAsiaTheme="majorEastAsia" w:hAnsi="Calibri"/>
      <w:b/>
      <w:i/>
      <w:sz w:val="24"/>
      <w:szCs w:val="24"/>
    </w:rPr>
  </w:style>
  <w:style w:type="paragraph" w:customStyle="1" w:styleId="Szvegdobozstlus">
    <w:name w:val="Szövegdoboz stílus"/>
    <w:basedOn w:val="HierarchikusLista0"/>
    <w:qFormat/>
    <w:rsid w:val="001B29F9"/>
    <w:rPr>
      <w:b/>
      <w:i/>
      <w:color w:val="808080" w:themeColor="accent1"/>
    </w:rPr>
  </w:style>
  <w:style w:type="table" w:customStyle="1" w:styleId="Rcsos">
    <w:name w:val="Rácsos"/>
    <w:basedOn w:val="TableNormal"/>
    <w:uiPriority w:val="99"/>
    <w:rsid w:val="001B29F9"/>
    <w:pPr>
      <w:spacing w:after="0" w:line="240" w:lineRule="auto"/>
    </w:pPr>
    <w:rPr>
      <w:rFonts w:asciiTheme="majorHAnsi" w:hAnsiTheme="majorHAnsi"/>
      <w:color w:val="00A3AE" w:themeColor="accent5"/>
      <w:sz w:val="20"/>
      <w:lang w:bidi="ar-SA"/>
    </w:rPr>
    <w:tblPr>
      <w:tblStyleRowBandSize w:val="1"/>
      <w:tblStyleColBandSize w:val="1"/>
      <w:tblBorders>
        <w:top w:val="single" w:sz="4" w:space="0" w:color="00A3AE" w:themeColor="accent5"/>
        <w:left w:val="single" w:sz="4" w:space="0" w:color="00A3AE" w:themeColor="accent5"/>
        <w:bottom w:val="single" w:sz="48" w:space="0" w:color="00A3AE" w:themeColor="accent5"/>
        <w:right w:val="single" w:sz="4" w:space="0" w:color="00A3AE" w:themeColor="accent5"/>
        <w:insideV w:val="single" w:sz="4" w:space="0" w:color="00A3AE" w:themeColor="accent5"/>
      </w:tblBorders>
    </w:tblPr>
    <w:tcPr>
      <w:shd w:val="clear" w:color="auto" w:fill="auto"/>
      <w:tcMar>
        <w:top w:w="170" w:type="dxa"/>
      </w:tcMar>
      <w:vAlign w:val="center"/>
    </w:tcPr>
    <w:tblStylePr w:type="firstRow">
      <w:rPr>
        <w:rFonts w:asciiTheme="majorHAnsi" w:hAnsiTheme="majorHAnsi"/>
        <w:b w:val="0"/>
        <w:i w:val="0"/>
        <w:color w:val="00A3AE" w:themeColor="accent5"/>
        <w:sz w:val="36"/>
      </w:rPr>
      <w:tblPr/>
      <w:tcPr>
        <w:tcBorders>
          <w:top w:val="single" w:sz="8" w:space="0" w:color="00A3AE" w:themeColor="accent5"/>
          <w:left w:val="single" w:sz="8" w:space="0" w:color="00A3AE" w:themeColor="accent5"/>
          <w:bottom w:val="single" w:sz="24" w:space="0" w:color="00A3AE" w:themeColor="accent5"/>
          <w:right w:val="single" w:sz="8" w:space="0" w:color="00A3AE" w:themeColor="accent5"/>
          <w:insideH w:val="nil"/>
          <w:insideV w:val="nil"/>
          <w:tl2br w:val="nil"/>
          <w:tr2bl w:val="nil"/>
        </w:tcBorders>
        <w:shd w:val="clear" w:color="auto" w:fill="646464" w:themeFill="background2"/>
      </w:tcPr>
    </w:tblStylePr>
    <w:tblStylePr w:type="band2Horz">
      <w:tblPr/>
      <w:tcPr>
        <w:shd w:val="clear" w:color="auto" w:fill="A2A2A2" w:themeFill="background2" w:themeFillTint="9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image" Target="media/image7.emf"/><Relationship Id="rId21" Type="http://schemas.openxmlformats.org/officeDocument/2006/relationships/header" Target="header5.xml"/><Relationship Id="rId34" Type="http://schemas.openxmlformats.org/officeDocument/2006/relationships/header" Target="header11.xml"/><Relationship Id="rId42" Type="http://schemas.openxmlformats.org/officeDocument/2006/relationships/image" Target="media/image10.wmf"/><Relationship Id="rId47" Type="http://schemas.openxmlformats.org/officeDocument/2006/relationships/header" Target="header14.xml"/><Relationship Id="rId50" Type="http://schemas.openxmlformats.org/officeDocument/2006/relationships/header" Target="header15.xml"/><Relationship Id="rId55" Type="http://schemas.openxmlformats.org/officeDocument/2006/relationships/header" Target="header17.xml"/><Relationship Id="rId63" Type="http://schemas.openxmlformats.org/officeDocument/2006/relationships/footer" Target="footer19.xml"/><Relationship Id="rId68" Type="http://schemas.openxmlformats.org/officeDocument/2006/relationships/header" Target="header22.xml"/><Relationship Id="rId76" Type="http://schemas.openxmlformats.org/officeDocument/2006/relationships/header" Target="header26.xml"/><Relationship Id="rId84" Type="http://schemas.openxmlformats.org/officeDocument/2006/relationships/header" Target="header30.xml"/><Relationship Id="rId89" Type="http://schemas.openxmlformats.org/officeDocument/2006/relationships/footer" Target="footer32.xml"/><Relationship Id="rId7" Type="http://schemas.openxmlformats.org/officeDocument/2006/relationships/styles" Target="styles.xml"/><Relationship Id="rId71" Type="http://schemas.openxmlformats.org/officeDocument/2006/relationships/footer" Target="footer23.xml"/><Relationship Id="rId92" Type="http://schemas.openxmlformats.org/officeDocument/2006/relationships/header" Target="header34.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footer" Target="footer8.xml"/><Relationship Id="rId11" Type="http://schemas.openxmlformats.org/officeDocument/2006/relationships/footnotes" Target="footnotes.xml"/><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image" Target="media/image8.wmf"/><Relationship Id="rId45" Type="http://schemas.openxmlformats.org/officeDocument/2006/relationships/image" Target="media/image11.wmf"/><Relationship Id="rId53" Type="http://schemas.openxmlformats.org/officeDocument/2006/relationships/header" Target="header16.xml"/><Relationship Id="rId58" Type="http://schemas.openxmlformats.org/officeDocument/2006/relationships/footer" Target="footer18.xml"/><Relationship Id="rId66" Type="http://schemas.openxmlformats.org/officeDocument/2006/relationships/header" Target="header21.xml"/><Relationship Id="rId74" Type="http://schemas.openxmlformats.org/officeDocument/2006/relationships/header" Target="header25.xml"/><Relationship Id="rId79" Type="http://schemas.openxmlformats.org/officeDocument/2006/relationships/footer" Target="footer27.xml"/><Relationship Id="rId87" Type="http://schemas.openxmlformats.org/officeDocument/2006/relationships/footer" Target="footer31.xml"/><Relationship Id="rId5" Type="http://schemas.openxmlformats.org/officeDocument/2006/relationships/customXml" Target="../customXml/item5.xml"/><Relationship Id="rId61" Type="http://schemas.openxmlformats.org/officeDocument/2006/relationships/image" Target="media/image17.wmf"/><Relationship Id="rId82" Type="http://schemas.openxmlformats.org/officeDocument/2006/relationships/header" Target="header29.xml"/><Relationship Id="rId90" Type="http://schemas.openxmlformats.org/officeDocument/2006/relationships/header" Target="header33.xml"/><Relationship Id="rId95"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header" Target="header13.xml"/><Relationship Id="rId48" Type="http://schemas.openxmlformats.org/officeDocument/2006/relationships/footer" Target="footer14.xml"/><Relationship Id="rId56" Type="http://schemas.openxmlformats.org/officeDocument/2006/relationships/footer" Target="footer17.xml"/><Relationship Id="rId64" Type="http://schemas.openxmlformats.org/officeDocument/2006/relationships/header" Target="header20.xml"/><Relationship Id="rId69" Type="http://schemas.openxmlformats.org/officeDocument/2006/relationships/footer" Target="footer22.xml"/><Relationship Id="rId77" Type="http://schemas.openxmlformats.org/officeDocument/2006/relationships/footer" Target="footer26.xml"/><Relationship Id="rId8" Type="http://schemas.microsoft.com/office/2007/relationships/stylesWithEffects" Target="stylesWithEffects.xml"/><Relationship Id="rId51" Type="http://schemas.openxmlformats.org/officeDocument/2006/relationships/footer" Target="footer15.xml"/><Relationship Id="rId72" Type="http://schemas.openxmlformats.org/officeDocument/2006/relationships/header" Target="header24.xml"/><Relationship Id="rId80" Type="http://schemas.openxmlformats.org/officeDocument/2006/relationships/header" Target="header28.xml"/><Relationship Id="rId85" Type="http://schemas.openxmlformats.org/officeDocument/2006/relationships/footer" Target="footer30.xml"/><Relationship Id="rId93" Type="http://schemas.openxmlformats.org/officeDocument/2006/relationships/footer" Target="footer3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image" Target="media/image6.emf"/><Relationship Id="rId46" Type="http://schemas.openxmlformats.org/officeDocument/2006/relationships/image" Target="media/image12.emf"/><Relationship Id="rId59" Type="http://schemas.openxmlformats.org/officeDocument/2006/relationships/image" Target="media/image15.wmf"/><Relationship Id="rId67" Type="http://schemas.openxmlformats.org/officeDocument/2006/relationships/footer" Target="footer21.xml"/><Relationship Id="rId20" Type="http://schemas.openxmlformats.org/officeDocument/2006/relationships/header" Target="header4.xml"/><Relationship Id="rId41" Type="http://schemas.openxmlformats.org/officeDocument/2006/relationships/image" Target="media/image9.wmf"/><Relationship Id="rId54" Type="http://schemas.openxmlformats.org/officeDocument/2006/relationships/footer" Target="footer16.xml"/><Relationship Id="rId62" Type="http://schemas.openxmlformats.org/officeDocument/2006/relationships/header" Target="header19.xml"/><Relationship Id="rId70" Type="http://schemas.openxmlformats.org/officeDocument/2006/relationships/header" Target="header23.xml"/><Relationship Id="rId75" Type="http://schemas.openxmlformats.org/officeDocument/2006/relationships/footer" Target="footer25.xml"/><Relationship Id="rId83" Type="http://schemas.openxmlformats.org/officeDocument/2006/relationships/footer" Target="footer29.xml"/><Relationship Id="rId88" Type="http://schemas.openxmlformats.org/officeDocument/2006/relationships/header" Target="header32.xml"/><Relationship Id="rId91"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image" Target="media/image13.wmf"/><Relationship Id="rId57" Type="http://schemas.openxmlformats.org/officeDocument/2006/relationships/header" Target="header18.xml"/><Relationship Id="rId10" Type="http://schemas.openxmlformats.org/officeDocument/2006/relationships/webSettings" Target="webSettings.xml"/><Relationship Id="rId31" Type="http://schemas.openxmlformats.org/officeDocument/2006/relationships/footer" Target="footer9.xml"/><Relationship Id="rId44" Type="http://schemas.openxmlformats.org/officeDocument/2006/relationships/footer" Target="footer13.xml"/><Relationship Id="rId52" Type="http://schemas.openxmlformats.org/officeDocument/2006/relationships/image" Target="media/image14.wmf"/><Relationship Id="rId60" Type="http://schemas.openxmlformats.org/officeDocument/2006/relationships/image" Target="media/image16.wmf"/><Relationship Id="rId65" Type="http://schemas.openxmlformats.org/officeDocument/2006/relationships/footer" Target="footer20.xml"/><Relationship Id="rId73" Type="http://schemas.openxmlformats.org/officeDocument/2006/relationships/footer" Target="footer24.xml"/><Relationship Id="rId78" Type="http://schemas.openxmlformats.org/officeDocument/2006/relationships/header" Target="header27.xml"/><Relationship Id="rId81" Type="http://schemas.openxmlformats.org/officeDocument/2006/relationships/footer" Target="footer28.xml"/><Relationship Id="rId86" Type="http://schemas.openxmlformats.org/officeDocument/2006/relationships/header" Target="header31.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s>
</file>

<file path=word/_rels/footer12.xml.rels><?xml version="1.0" encoding="UTF-8" standalone="yes"?>
<Relationships xmlns="http://schemas.openxmlformats.org/package/2006/relationships"><Relationship Id="rId1" Type="http://schemas.openxmlformats.org/officeDocument/2006/relationships/image" Target="media/image5.png"/></Relationships>
</file>

<file path=word/_rels/footer21.xml.rels><?xml version="1.0" encoding="UTF-8" standalone="yes"?>
<Relationships xmlns="http://schemas.openxmlformats.org/package/2006/relationships"><Relationship Id="rId1" Type="http://schemas.openxmlformats.org/officeDocument/2006/relationships/image" Target="media/image5.png"/></Relationships>
</file>

<file path=word/_rels/footer24.xml.rels><?xml version="1.0" encoding="UTF-8" standalone="yes"?>
<Relationships xmlns="http://schemas.openxmlformats.org/package/2006/relationships"><Relationship Id="rId1" Type="http://schemas.openxmlformats.org/officeDocument/2006/relationships/image" Target="media/image5.png"/></Relationships>
</file>

<file path=word/_rels/footer27.xml.rels><?xml version="1.0" encoding="UTF-8" standalone="yes"?>
<Relationships xmlns="http://schemas.openxmlformats.org/package/2006/relationships"><Relationship Id="rId1" Type="http://schemas.openxmlformats.org/officeDocument/2006/relationships/image" Target="media/image5.png"/></Relationships>
</file>

<file path=word/_rels/footer30.xml.rels><?xml version="1.0" encoding="UTF-8" standalone="yes"?>
<Relationships xmlns="http://schemas.openxmlformats.org/package/2006/relationships"><Relationship Id="rId1" Type="http://schemas.openxmlformats.org/officeDocument/2006/relationships/image" Target="media/image5.png"/></Relationships>
</file>

<file path=word/_rels/footer9.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assessment.ebrd.com/insolvency-office-holders/2014/report.html" TargetMode="External"/><Relationship Id="rId7" Type="http://schemas.openxmlformats.org/officeDocument/2006/relationships/hyperlink" Target="http://assessment.ebrd.com/insolvency-office-holders/2014/country-profiles/hungary.html" TargetMode="External"/><Relationship Id="rId2" Type="http://schemas.openxmlformats.org/officeDocument/2006/relationships/hyperlink" Target="http://assessment.ebrd.com/insolvency-office-holders/2014/country-profiles/hungary.html" TargetMode="External"/><Relationship Id="rId1" Type="http://schemas.openxmlformats.org/officeDocument/2006/relationships/hyperlink" Target="http://assessment.ebrd.com/insolvency-office-holders/2014/report.html" TargetMode="External"/><Relationship Id="rId6" Type="http://schemas.openxmlformats.org/officeDocument/2006/relationships/hyperlink" Target="http://assessment.ebrd.com/insolvency-office-holders/2014/report.html" TargetMode="External"/><Relationship Id="rId5" Type="http://schemas.openxmlformats.org/officeDocument/2006/relationships/hyperlink" Target="http://assessment.ebrd.com/insolvency-office-holders/2014/report.html" TargetMode="External"/><Relationship Id="rId4" Type="http://schemas.openxmlformats.org/officeDocument/2006/relationships/hyperlink" Target="http://assessment.ebrd.com/insolvency-office-holders/2014/country-profiles/hungary.htm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TAS colors">
      <a:dk1>
        <a:srgbClr val="000000"/>
      </a:dk1>
      <a:lt1>
        <a:srgbClr val="646464"/>
      </a:lt1>
      <a:dk2>
        <a:srgbClr val="FFFFFF"/>
      </a:dk2>
      <a:lt2>
        <a:srgbClr val="646464"/>
      </a:lt2>
      <a:accent1>
        <a:srgbClr val="808080"/>
      </a:accent1>
      <a:accent2>
        <a:srgbClr val="FFE600"/>
      </a:accent2>
      <a:accent3>
        <a:srgbClr val="999999"/>
      </a:accent3>
      <a:accent4>
        <a:srgbClr val="F0F0F0"/>
      </a:accent4>
      <a:accent5>
        <a:srgbClr val="00A3AE"/>
      </a:accent5>
      <a:accent6>
        <a:srgbClr val="C0C0C0"/>
      </a:accent6>
      <a:hlink>
        <a:srgbClr val="336699"/>
      </a:hlink>
      <a:folHlink>
        <a:srgbClr val="91278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TAS colors">
        <a:dk1>
          <a:srgbClr val="000000"/>
        </a:dk1>
        <a:lt1>
          <a:srgbClr val="646464"/>
        </a:lt1>
        <a:dk2>
          <a:srgbClr val="FFFFFF"/>
        </a:dk2>
        <a:lt2>
          <a:srgbClr val="646464"/>
        </a:lt2>
        <a:accent1>
          <a:srgbClr val="808080"/>
        </a:accent1>
        <a:accent2>
          <a:srgbClr val="FFE600"/>
        </a:accent2>
        <a:accent3>
          <a:srgbClr val="999999"/>
        </a:accent3>
        <a:accent4>
          <a:srgbClr val="F0F0F0"/>
        </a:accent4>
        <a:accent5>
          <a:srgbClr val="00A3AE"/>
        </a:accent5>
        <a:accent6>
          <a:srgbClr val="C0C0C0"/>
        </a:accent6>
        <a:hlink>
          <a:srgbClr val="336699"/>
        </a:hlink>
        <a:folHlink>
          <a:srgbClr val="91278F"/>
        </a:folHlink>
      </a:clrScheme>
      <a:clrMap bg1="lt1" tx1="dk1" bg2="lt2" tx2="dk2" accent1="accent1" accent2="accent2" accent3="accent3" accent4="accent4" accent5="accent5" accent6="accent6" hlink="hlink" folHlink="folHlink"/>
    </a:extraClrScheme>
  </a:extraClrSchemeLst>
  <a:custClrLst>
    <a:custClr name="EY Special Use Red">
      <a:srgbClr val="F04C3E"/>
    </a:custClr>
    <a:custClr name="EY Special Use Blue 50%">
      <a:srgbClr val="7FD1D6"/>
    </a:custClr>
    <a:custClr name="EY Special Use Purple">
      <a:srgbClr val="91278F"/>
    </a:custClr>
    <a:custClr name="EY Special Use Purple 50%">
      <a:srgbClr val="C893C7"/>
    </a:custClr>
    <a:custClr name="EY Special Use Green">
      <a:srgbClr val="2C973E"/>
    </a:custClr>
    <a:custClr name="EY Special Use Green 50%">
      <a:srgbClr val="95CB89"/>
    </a:custClr>
    <a:custClr name="EY Yellow 50%">
      <a:srgbClr val="FFF27F"/>
    </a:custClr>
    <a:custClr name="EY Special Use Lilac">
      <a:srgbClr val="AC98DB"/>
    </a:custClr>
    <a:custClr name="EY Special Use Lilac 50%">
      <a:srgbClr val="D8D2E0"/>
    </a:custClr>
    <a:custClr name="EY Link Blue">
      <a:srgbClr val="336699"/>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F523930DC4D3412AB80968DE96874C520093D453813A5749DAAE72C3A5A673BF8500656540EAACCB4C42A9CD6F992B5964BF00361747B6793F38419DA9D7B7BD09D7E7" ma:contentTypeVersion="10" ma:contentTypeDescription="EY Service Delivery Word Document Content Type" ma:contentTypeScope="" ma:versionID="450a9810c1147ad90b13d990524d5e4a">
  <xsd:schema xmlns:xsd="http://www.w3.org/2001/XMLSchema" xmlns:xs="http://www.w3.org/2001/XMLSchema" xmlns:p="http://schemas.microsoft.com/office/2006/metadata/properties" xmlns:ns1="http://schemas.microsoft.com/sharepoint/v3" xmlns:ns2="44DA7AEA-EE72-42D8-9004-3EBF4B4EAF4F" xmlns:ns3="http://schemas.microsoft.com/sharepoint/v3/fields" xmlns:ns4="c15dca35-4f2d-49f6-9711-de4a2f6cedba" targetNamespace="http://schemas.microsoft.com/office/2006/metadata/properties" ma:root="true" ma:fieldsID="c650c035627d264b8032e43e43f1c7a4" ns1:_="" ns2:_="" ns3:_="" ns4:_="">
    <xsd:import namespace="http://schemas.microsoft.com/sharepoint/v3"/>
    <xsd:import namespace="44DA7AEA-EE72-42D8-9004-3EBF4B4EAF4F"/>
    <xsd:import namespace="http://schemas.microsoft.com/sharepoint/v3/fields"/>
    <xsd:import namespace="c15dca35-4f2d-49f6-9711-de4a2f6cedba"/>
    <xsd:element name="properties">
      <xsd:complexType>
        <xsd:sequence>
          <xsd:element name="documentManagement">
            <xsd:complexType>
              <xsd:all>
                <xsd:element ref="ns2:EYDocID" minOccurs="0"/>
                <xsd:element ref="ns2:EYPaperProfile" minOccurs="0"/>
                <xsd:element ref="ns2:EYWorkProductIndicator" minOccurs="0"/>
                <xsd:element ref="ns2:EYIncludeInArchive" minOccurs="0"/>
                <xsd:element ref="ns3:Status"/>
                <xsd:element ref="ns2:EYHealthIndicator" minOccurs="0"/>
                <xsd:element ref="ns2:EYClientAccessible" minOccurs="0"/>
                <xsd:element ref="ns2:EYThirdPartyAccessible" minOccurs="0"/>
                <xsd:element ref="ns2:EYPriority" minOccurs="0"/>
                <xsd:element ref="ns3:TaskDueDate" minOccurs="0"/>
                <xsd:element ref="ns1:AssignedTo" minOccurs="0"/>
                <xsd:element ref="ns2:EYSupportingLinks" minOccurs="0"/>
                <xsd:element ref="ns2:EYReviewers" minOccurs="0"/>
                <xsd:element ref="ns2:EYNotes" minOccurs="0"/>
                <xsd:element ref="ns2:EYSignOff" minOccurs="0"/>
                <xsd:element ref="ns2:EYReviewHistory" minOccurs="0"/>
                <xsd:element ref="ns2:EYApplySignOffHistory" minOccurs="0"/>
                <xsd:element ref="ns2:EYRemoveSignOffHistory" minOccurs="0"/>
                <xsd:element ref="ns2:EYMarkCompleteHistory" minOccurs="0"/>
                <xsd:element ref="ns2:EYRelationID" minOccurs="0"/>
                <xsd:element ref="ns4:EYRASformrequired" minOccurs="0"/>
                <xsd:element ref="ns4:EYRASAssociated" minOccurs="0"/>
                <xsd:element ref="ns4:EYReverseLookupRelatedTasks" minOccurs="0"/>
                <xsd:element ref="ns4:EYReverseLookupRelatedRisksIssues" minOccurs="0"/>
                <xsd:element ref="ns4:EYReverseLookupRelatedCRs" minOccurs="0"/>
                <xsd:element ref="ns4:WPPIndex" minOccurs="0"/>
                <xsd:element ref="ns4:WPPXM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18" nillable="true" ma:displayName="Assigned To" ma:list="UserInfo" ma:SharePointGroup="19" ma:internalName="AssignedTo"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4DA7AEA-EE72-42D8-9004-3EBF4B4EAF4F" elementFormDefault="qualified">
    <xsd:import namespace="http://schemas.microsoft.com/office/2006/documentManagement/types"/>
    <xsd:import namespace="http://schemas.microsoft.com/office/infopath/2007/PartnerControls"/>
    <xsd:element name="EYDocID" ma:index="8" nillable="true" ma:displayName="Doc ID" ma:internalName="EYDocID">
      <xsd:simpleType>
        <xsd:restriction base="dms:Text"/>
      </xsd:simpleType>
    </xsd:element>
    <xsd:element name="EYPaperProfile" ma:index="9" nillable="true" ma:displayName="Paper Profile" ma:description="Selecting this box will indicate that this document only resides as a physical copy" ma:internalName="EYPaperProfile">
      <xsd:simpleType>
        <xsd:restriction base="dms:Boolean"/>
      </xsd:simpleType>
    </xsd:element>
    <xsd:element name="EYWorkProductIndicator" ma:index="10" nillable="true" ma:displayName="WP Indicator" ma:description="Selecting this box will highlight the document as a work product on views and reports" ma:internalName="EYWorkProductIndicator">
      <xsd:simpleType>
        <xsd:restriction base="dms:Boolean"/>
      </xsd:simpleType>
    </xsd:element>
    <xsd:element name="EYIncludeInArchive" ma:index="11" nillable="true" ma:displayName="Include in Archive" ma:description="Selecting this box will flag this document to be included in the archive file" ma:internalName="EYIncludeInArchive">
      <xsd:simpleType>
        <xsd:restriction base="dms:Boolean"/>
      </xsd:simpleType>
    </xsd:element>
    <xsd:element name="EYHealthIndicator" ma:index="13" nillable="true" ma:displayName="Health" ma:internalName="EYHealthIndicator">
      <xsd:simpleType>
        <xsd:restriction base="dms:Choice">
          <xsd:enumeration value="Green"/>
          <xsd:enumeration value="Yellow"/>
          <xsd:enumeration value="Red"/>
        </xsd:restriction>
      </xsd:simpleType>
    </xsd:element>
    <xsd:element name="EYClientAccessible" ma:index="14" nillable="true" ma:displayName="Client Accessible" ma:default="false" ma:description="Selecting this box will allow client resources on the team to access this item" ma:internalName="EYClientAccessible">
      <xsd:simpleType>
        <xsd:restriction base="dms:Boolean"/>
      </xsd:simpleType>
    </xsd:element>
    <xsd:element name="EYThirdPartyAccessible" ma:index="15" nillable="true" ma:displayName="Third Party Accessible" ma:default="false" ma:description="Selecting this box will allow third party resources on the team to access this item" ma:internalName="EYThirdPartyAccessible">
      <xsd:simpleType>
        <xsd:restriction base="dms:Boolean"/>
      </xsd:simpleType>
    </xsd:element>
    <xsd:element name="EYPriority" ma:index="16" nillable="true" ma:displayName="Priority" ma:internalName="EYPriority">
      <xsd:simpleType>
        <xsd:restriction base="dms:Choice">
          <xsd:enumeration value="High"/>
          <xsd:enumeration value="Medium"/>
          <xsd:enumeration value="Low"/>
        </xsd:restriction>
      </xsd:simpleType>
    </xsd:element>
    <xsd:element name="EYSupportingLinks" ma:index="19" nillable="true" ma:displayName="Supporting Links" ma:internalName="EYSupportingLinks">
      <xsd:simpleType>
        <xsd:restriction base="dms:Note">
          <xsd:maxLength value="255"/>
        </xsd:restriction>
      </xsd:simpleType>
    </xsd:element>
    <xsd:element name="EYReviewers" ma:index="20" nillable="true" ma:displayName="Reviewers" ma:list="UserInfo" ma:SharePointGroup="19" ma:internalName="EYReviewe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YNotes" ma:index="21" nillable="true" ma:displayName="Comments" ma:internalName="EYNotes">
      <xsd:simpleType>
        <xsd:restriction base="dms:Note">
          <xsd:maxLength value="255"/>
        </xsd:restriction>
      </xsd:simpleType>
    </xsd:element>
    <xsd:element name="EYSignOff" ma:index="22" nillable="true" ma:displayName="Sign Offs" ma:internalName="EYSignOff">
      <xsd:simpleType>
        <xsd:restriction base="dms:Unknown"/>
      </xsd:simpleType>
    </xsd:element>
    <xsd:element name="EYReviewHistory" ma:index="23" nillable="true" ma:displayName="Review History" ma:hidden="true" ma:internalName="EYReviewHistory">
      <xsd:simpleType>
        <xsd:restriction base="dms:Text"/>
      </xsd:simpleType>
    </xsd:element>
    <xsd:element name="EYApplySignOffHistory" ma:index="24" nillable="true" ma:displayName="Apply SignOff History" ma:hidden="true" ma:internalName="EYApplySignOffHistory">
      <xsd:simpleType>
        <xsd:restriction base="dms:Text"/>
      </xsd:simpleType>
    </xsd:element>
    <xsd:element name="EYRemoveSignOffHistory" ma:index="25" nillable="true" ma:displayName="Remove SignOff History" ma:hidden="true" ma:internalName="EYRemoveSignOffHistory">
      <xsd:simpleType>
        <xsd:restriction base="dms:Text"/>
      </xsd:simpleType>
    </xsd:element>
    <xsd:element name="EYMarkCompleteHistory" ma:index="26" nillable="true" ma:displayName="Mark Complete History" ma:hidden="true" ma:internalName="EYMarkCompleteHistory">
      <xsd:simpleType>
        <xsd:restriction base="dms:Text"/>
      </xsd:simpleType>
    </xsd:element>
    <xsd:element name="EYRelationID" ma:index="27" nillable="true" ma:displayName="Relation ID" ma:hidden="true" ma:internalName="EYRelation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Status" ma:index="12" ma:displayName="Status" ma:default="Not Started" ma:internalName="Status">
      <xsd:simpleType>
        <xsd:restriction base="dms:Choice">
          <xsd:enumeration value="Not Started"/>
          <xsd:enumeration value="In Progress"/>
          <xsd:enumeration value="In Review"/>
          <xsd:enumeration value="Completed"/>
        </xsd:restriction>
      </xsd:simpleType>
    </xsd:element>
    <xsd:element name="TaskDueDate" ma:index="17" nillable="true" ma:displayName="Due Date" ma:format="DateOnly" ma:internalName="TaskDu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15dca35-4f2d-49f6-9711-de4a2f6cedba" elementFormDefault="qualified">
    <xsd:import namespace="http://schemas.microsoft.com/office/2006/documentManagement/types"/>
    <xsd:import namespace="http://schemas.microsoft.com/office/infopath/2007/PartnerControls"/>
    <xsd:element name="EYRASformrequired" ma:index="28" nillable="true" ma:displayName="RAS form required?" ma:description="Selecting this box will make this document available for association with a RAS form." ma:internalName="EYRASformrequired">
      <xsd:simpleType>
        <xsd:restriction base="dms:Boolean"/>
      </xsd:simpleType>
    </xsd:element>
    <xsd:element name="EYRASAssociated" ma:index="29" nillable="true" ma:displayName="RASAssociated" ma:internalName="EYRASAssociated">
      <xsd:simpleType>
        <xsd:restriction base="dms:Boolean"/>
      </xsd:simpleType>
    </xsd:element>
    <xsd:element name="EYReverseLookupRelatedTasks" ma:index="30" nillable="true" ma:displayName="ReverseLookup Related Tasks" ma:description="" ma:internalName="EYReverseLookupRelatedTasks">
      <xsd:simpleType>
        <xsd:restriction base="dms:Unknown"/>
      </xsd:simpleType>
    </xsd:element>
    <xsd:element name="EYReverseLookupRelatedRisksIssues" ma:index="31" nillable="true" ma:displayName="ReverseLookup Related Risks/Issues" ma:description="" ma:internalName="EYReverseLookupRelatedRisksIssues">
      <xsd:simpleType>
        <xsd:restriction base="dms:Unknown"/>
      </xsd:simpleType>
    </xsd:element>
    <xsd:element name="EYReverseLookupRelatedCRs" ma:index="32" nillable="true" ma:displayName="Related Change Requests" ma:description="" ma:internalName="EYReverseLookupRelatedCRs">
      <xsd:simpleType>
        <xsd:restriction base="dms:Unknown"/>
      </xsd:simpleType>
    </xsd:element>
    <xsd:element name="WPPIndex" ma:index="33" nillable="true" ma:displayName="WPPIndex" ma:internalName="WPPIndex" ma:readOnly="true">
      <xsd:simpleType>
        <xsd:restriction base="dms:Note">
          <xsd:maxLength value="255"/>
        </xsd:restriction>
      </xsd:simpleType>
    </xsd:element>
    <xsd:element name="WPPXML" ma:index="34" nillable="true" ma:displayName="WPPXML" ma:internalName="WPPXML"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WPPIndex xmlns="c15dca35-4f2d-49f6-9711-de4a2f6cedba">99,101,100,104,109,95,96,97,102,98,122</WPPIndex>
    <WPPXML xmlns="c15dca35-4f2d-49f6-9711-de4a2f6cedba">&lt;WPP&gt;&lt;DeliverableID&gt;94&lt;/DeliverableID&gt;&lt;ExInfo&gt;Includes 10 of 11 sections&lt;/ExInfo&gt;&lt;RDate&gt;15 October 2014&lt;/RDate&gt;&lt;Exsec&gt;122&lt;/Exsec&gt;&lt;/WPP&gt;</WPPXML>
    <EYNotes xmlns="44DA7AEA-EE72-42D8-9004-3EBF4B4EAF4F" xsi:nil="true"/>
    <EYSignOff xmlns="44DA7AEA-EE72-42D8-9004-3EBF4B4EAF4F" xsi:nil="true"/>
    <EYDocID xmlns="44DA7AEA-EE72-42D8-9004-3EBF4B4EAF4F">0SHA124</EYDocID>
    <EYReverseLookupRelatedTasks xmlns="c15dca35-4f2d-49f6-9711-de4a2f6cedba">124</EYReverseLookupRelatedTasks>
    <EYHealthIndicator xmlns="44DA7AEA-EE72-42D8-9004-3EBF4B4EAF4F" xsi:nil="true"/>
    <AssignedTo xmlns="http://schemas.microsoft.com/sharepoint/v3">
      <UserInfo>
        <DisplayName/>
        <AccountId xsi:nil="true"/>
        <AccountType/>
      </UserInfo>
    </AssignedTo>
    <EYClientAccessible xmlns="44DA7AEA-EE72-42D8-9004-3EBF4B4EAF4F">false</EYClientAccessible>
    <EYReviewHistory xmlns="44DA7AEA-EE72-42D8-9004-3EBF4B4EAF4F" xsi:nil="true"/>
    <EYMarkCompleteHistory xmlns="44DA7AEA-EE72-42D8-9004-3EBF4B4EAF4F" xsi:nil="true"/>
    <TaskDueDate xmlns="http://schemas.microsoft.com/sharepoint/v3/fields" xsi:nil="true"/>
    <EYPaperProfile xmlns="44DA7AEA-EE72-42D8-9004-3EBF4B4EAF4F" xsi:nil="true"/>
    <EYWorkProductIndicator xmlns="44DA7AEA-EE72-42D8-9004-3EBF4B4EAF4F">false</EYWorkProductIndicator>
    <EYReverseLookupRelatedRisksIssues xmlns="c15dca35-4f2d-49f6-9711-de4a2f6cedba">124</EYReverseLookupRelatedRisksIssues>
    <EYRelationID xmlns="44DA7AEA-EE72-42D8-9004-3EBF4B4EAF4F" xsi:nil="true"/>
    <EYSupportingLinks xmlns="44DA7AEA-EE72-42D8-9004-3EBF4B4EAF4F" xsi:nil="true"/>
    <EYRemoveSignOffHistory xmlns="44DA7AEA-EE72-42D8-9004-3EBF4B4EAF4F" xsi:nil="true"/>
    <EYIncludeInArchive xmlns="44DA7AEA-EE72-42D8-9004-3EBF4B4EAF4F" xsi:nil="true"/>
    <EYThirdPartyAccessible xmlns="44DA7AEA-EE72-42D8-9004-3EBF4B4EAF4F">false</EYThirdPartyAccessible>
    <EYApplySignOffHistory xmlns="44DA7AEA-EE72-42D8-9004-3EBF4B4EAF4F" xsi:nil="true"/>
    <EYRASAssociated xmlns="c15dca35-4f2d-49f6-9711-de4a2f6cedba" xsi:nil="true"/>
    <EYPriority xmlns="44DA7AEA-EE72-42D8-9004-3EBF4B4EAF4F" xsi:nil="true"/>
    <EYReviewers xmlns="44DA7AEA-EE72-42D8-9004-3EBF4B4EAF4F">
      <UserInfo>
        <DisplayName/>
        <AccountId xsi:nil="true"/>
        <AccountType/>
      </UserInfo>
    </EYReviewers>
    <EYRASformrequired xmlns="c15dca35-4f2d-49f6-9711-de4a2f6cedba" xsi:nil="true"/>
    <Status xmlns="http://schemas.microsoft.com/sharepoint/v3/fields">Not Started</Status>
    <EYReverseLookupRelatedCRs xmlns="c15dca35-4f2d-49f6-9711-de4a2f6cedba">124</EYReverseLookupRelatedC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Urls xmlns="http://schemas.microsoft.com/sharepoint/v3/contenttype/forms/url">
  <Display>/sites/4ts94v9g20ab/SharedDocuments/Forms/EYDisplayForm.aspx</Display>
  <Edit>/sites/4ts94v9g20ab/SharedDocuments/Forms/EYEditForm.aspx</Edit>
</FormUrl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FC8A22-DC72-4054-A2C1-B1A8454D48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4DA7AEA-EE72-42D8-9004-3EBF4B4EAF4F"/>
    <ds:schemaRef ds:uri="http://schemas.microsoft.com/sharepoint/v3/fields"/>
    <ds:schemaRef ds:uri="c15dca35-4f2d-49f6-9711-de4a2f6ced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3E98B40-4CDC-49CC-BF2F-852B865B98A6}">
  <ds:schemaRefs>
    <ds:schemaRef ds:uri="http://schemas.microsoft.com/office/2006/metadata/properties"/>
    <ds:schemaRef ds:uri="http://schemas.microsoft.com/office/infopath/2007/PartnerControls"/>
    <ds:schemaRef ds:uri="c15dca35-4f2d-49f6-9711-de4a2f6cedba"/>
    <ds:schemaRef ds:uri="44DA7AEA-EE72-42D8-9004-3EBF4B4EAF4F"/>
    <ds:schemaRef ds:uri="http://schemas.microsoft.com/sharepoint/v3"/>
    <ds:schemaRef ds:uri="http://schemas.microsoft.com/sharepoint/v3/fields"/>
  </ds:schemaRefs>
</ds:datastoreItem>
</file>

<file path=customXml/itemProps3.xml><?xml version="1.0" encoding="utf-8"?>
<ds:datastoreItem xmlns:ds="http://schemas.openxmlformats.org/officeDocument/2006/customXml" ds:itemID="{3CC9B4A6-E142-4BD8-BCBB-0826BF9841C2}">
  <ds:schemaRefs>
    <ds:schemaRef ds:uri="http://schemas.microsoft.com/sharepoint/v3/contenttype/forms"/>
  </ds:schemaRefs>
</ds:datastoreItem>
</file>

<file path=customXml/itemProps4.xml><?xml version="1.0" encoding="utf-8"?>
<ds:datastoreItem xmlns:ds="http://schemas.openxmlformats.org/officeDocument/2006/customXml" ds:itemID="{D76DB23E-7ECE-48A8-A903-25DE91F7E041}">
  <ds:schemaRefs>
    <ds:schemaRef ds:uri="http://schemas.microsoft.com/sharepoint/v3/contenttype/forms/url"/>
  </ds:schemaRefs>
</ds:datastoreItem>
</file>

<file path=customXml/itemProps5.xml><?xml version="1.0" encoding="utf-8"?>
<ds:datastoreItem xmlns:ds="http://schemas.openxmlformats.org/officeDocument/2006/customXml" ds:itemID="{33EA0A72-F200-4D19-AC59-DF09DA4E8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103</Pages>
  <Words>35061</Words>
  <Characters>241926</Characters>
  <Application>Microsoft Office Word</Application>
  <DocSecurity>0</DocSecurity>
  <Lines>2016</Lines>
  <Paragraphs>552</Paragraphs>
  <ScaleCrop>false</ScaleCrop>
  <HeadingPairs>
    <vt:vector size="2" baseType="variant">
      <vt:variant>
        <vt:lpstr>Title</vt:lpstr>
      </vt:variant>
      <vt:variant>
        <vt:i4>1</vt:i4>
      </vt:variant>
    </vt:vector>
  </HeadingPairs>
  <TitlesOfParts>
    <vt:vector size="1" baseType="lpstr">
      <vt:lpstr>A4P_White paper_report_v5.docx</vt:lpstr>
    </vt:vector>
  </TitlesOfParts>
  <Company>Ernst &amp; Young</Company>
  <LinksUpToDate>false</LinksUpToDate>
  <CharactersWithSpaces>276435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A4P_White paper_report_v5.docx</dc:title>
  <dc:creator>Lisa Pease</dc:creator>
  <cp:lastModifiedBy>Novothny, András</cp:lastModifiedBy>
  <cp:revision>12</cp:revision>
  <cp:lastPrinted>2014-10-15T14:46:00Z</cp:lastPrinted>
  <dcterms:created xsi:type="dcterms:W3CDTF">2014-11-19T11:19:00Z</dcterms:created>
  <dcterms:modified xsi:type="dcterms:W3CDTF">2014-11-19T13:50:00Z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iteID">
    <vt:lpwstr>62a3fb3e-03df-4a78-bd8e-1a597d75fc55</vt:lpwstr>
  </property>
  <property fmtid="{D5CDD505-2E9C-101B-9397-08002B2CF9AE}" pid="3" name="SPWebID">
    <vt:lpwstr>a35571d0-364c-4ba5-9084-73d9de95e790</vt:lpwstr>
  </property>
  <property fmtid="{D5CDD505-2E9C-101B-9397-08002B2CF9AE}" pid="4" name="SPListID">
    <vt:lpwstr>5ca7feec-aa13-47fc-9c48-90b3174520e9</vt:lpwstr>
  </property>
  <property fmtid="{D5CDD505-2E9C-101B-9397-08002B2CF9AE}" pid="5" name="SPServerURL">
    <vt:lpwstr>https://qorustms.ey.com</vt:lpwstr>
  </property>
  <property fmtid="{D5CDD505-2E9C-101B-9397-08002B2CF9AE}" pid="6" name="ContentTypeId">
    <vt:lpwstr>0x010100F523930DC4D3412AB80968DE96874C520093D453813A5749DAAE72C3A5A673BF8500656540EAACCB4C42A9CD6F992B5964BF00361747B6793F38419DA9D7B7BD09D7E7</vt:lpwstr>
  </property>
  <property fmtid="{D5CDD505-2E9C-101B-9397-08002B2CF9AE}" pid="7" name="Description">
    <vt:lpwstr>A4P_White paper_report</vt:lpwstr>
  </property>
  <property fmtid="{D5CDD505-2E9C-101B-9397-08002B2CF9AE}" pid="8" name="WPPHovertext">
    <vt:lpwstr>Please enter hover text here for this section</vt:lpwstr>
  </property>
  <property fmtid="{D5CDD505-2E9C-101B-9397-08002B2CF9AE}" pid="9" name="WPPItemType">
    <vt:lpwstr>Assembly</vt:lpwstr>
  </property>
  <property fmtid="{D5CDD505-2E9C-101B-9397-08002B2CF9AE}" pid="10" name="WPPSourceVersion">
    <vt:lpwstr>8.0</vt:lpwstr>
  </property>
  <property fmtid="{D5CDD505-2E9C-101B-9397-08002B2CF9AE}" pid="11" name="WPPSourcePath">
    <vt:lpwstr>https://qorustms.ey.com/sites/TemplateManagement/WPPTemplates/A4P_White paper_report.docx</vt:lpwstr>
  </property>
  <property fmtid="{D5CDD505-2E9C-101B-9397-08002B2CF9AE}" pid="12" name="WPPSort">
    <vt:lpwstr>A</vt:lpwstr>
  </property>
  <property fmtid="{D5CDD505-2E9C-101B-9397-08002B2CF9AE}" pid="13" name="WPPStatus">
    <vt:lpwstr>Assembled</vt:lpwstr>
  </property>
  <property fmtid="{D5CDD505-2E9C-101B-9397-08002B2CF9AE}" pid="14" name="SuppressFooterUpdate">
    <vt:bool>true</vt:bool>
  </property>
  <property fmtid="{D5CDD505-2E9C-101B-9397-08002B2CF9AE}" pid="15" name="WCFooterVersion">
    <vt:i4>1</vt:i4>
  </property>
  <property fmtid="{D5CDD505-2E9C-101B-9397-08002B2CF9AE}" pid="16" name="NRT_DocNumber">
    <vt:lpwstr>195309</vt:lpwstr>
  </property>
  <property fmtid="{D5CDD505-2E9C-101B-9397-08002B2CF9AE}" pid="17" name="NRT_DocVersion">
    <vt:lpwstr>2</vt:lpwstr>
  </property>
  <property fmtid="{D5CDD505-2E9C-101B-9397-08002B2CF9AE}" pid="18" name="NRT_DocName">
    <vt:lpwstr>WC Budapest_18112014_EBRD_HU</vt:lpwstr>
  </property>
  <property fmtid="{D5CDD505-2E9C-101B-9397-08002B2CF9AE}" pid="19" name="NRT_AuthorDescription">
    <vt:lpwstr>Pataki, Gabriella</vt:lpwstr>
  </property>
  <property fmtid="{D5CDD505-2E9C-101B-9397-08002B2CF9AE}" pid="20" name="NRT_Author">
    <vt:lpwstr>PATAKGA</vt:lpwstr>
  </property>
  <property fmtid="{D5CDD505-2E9C-101B-9397-08002B2CF9AE}" pid="21" name="NRT_OperatorDescription">
    <vt:lpwstr>Pataki, Gabriella</vt:lpwstr>
  </property>
  <property fmtid="{D5CDD505-2E9C-101B-9397-08002B2CF9AE}" pid="22" name="NRT_Operator">
    <vt:lpwstr>PATAKGA</vt:lpwstr>
  </property>
  <property fmtid="{D5CDD505-2E9C-101B-9397-08002B2CF9AE}" pid="23" name="NRT_ELITE_Client">
    <vt:lpwstr>7013534</vt:lpwstr>
  </property>
  <property fmtid="{D5CDD505-2E9C-101B-9397-08002B2CF9AE}" pid="24" name="NRT_ELITE_Matter">
    <vt:lpwstr>0008</vt:lpwstr>
  </property>
  <property fmtid="{D5CDD505-2E9C-101B-9397-08002B2CF9AE}" pid="25" name="NRT_Database">
    <vt:lpwstr>BUDAPEST</vt:lpwstr>
  </property>
  <property fmtid="{D5CDD505-2E9C-101B-9397-08002B2CF9AE}" pid="26" name="pDocNumber">
    <vt:lpwstr>195309_2 [BUDAPEST]</vt:lpwstr>
  </property>
  <property fmtid="{D5CDD505-2E9C-101B-9397-08002B2CF9AE}" pid="27" name="pDocRef">
    <vt:lpwstr>7013534-0008.PATAKGA</vt:lpwstr>
  </property>
</Properties>
</file>